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4FE55B" w14:textId="4848551E" w:rsidR="00804715" w:rsidRDefault="002D690E" w:rsidP="002D690E">
      <w:pPr>
        <w:spacing w:line="360" w:lineRule="auto"/>
        <w:rPr>
          <w:b/>
          <w:bCs/>
          <w:sz w:val="22"/>
          <w:szCs w:val="22"/>
        </w:rPr>
      </w:pPr>
      <w:bookmarkStart w:id="0" w:name="_Hlk46152445"/>
      <w:bookmarkEnd w:id="0"/>
      <w:r w:rsidRPr="00D07074">
        <w:rPr>
          <w:b/>
          <w:bCs/>
          <w:sz w:val="22"/>
          <w:szCs w:val="22"/>
        </w:rPr>
        <w:t xml:space="preserve">Title: </w:t>
      </w:r>
      <w:r w:rsidR="0002334F">
        <w:rPr>
          <w:bCs/>
          <w:sz w:val="22"/>
          <w:szCs w:val="22"/>
        </w:rPr>
        <w:t xml:space="preserve">Effect modification of greenness on </w:t>
      </w:r>
      <w:r w:rsidR="00AC6BAC">
        <w:rPr>
          <w:bCs/>
          <w:sz w:val="22"/>
          <w:szCs w:val="22"/>
        </w:rPr>
        <w:t>PM</w:t>
      </w:r>
      <w:r w:rsidR="00AC6BAC" w:rsidRPr="00AC6BAC">
        <w:rPr>
          <w:bCs/>
          <w:sz w:val="22"/>
          <w:szCs w:val="22"/>
          <w:vertAlign w:val="subscript"/>
        </w:rPr>
        <w:t>2.5</w:t>
      </w:r>
      <w:r w:rsidR="0002334F">
        <w:rPr>
          <w:rFonts w:hint="eastAsia"/>
          <w:bCs/>
          <w:sz w:val="22"/>
          <w:szCs w:val="22"/>
        </w:rPr>
        <w:t xml:space="preserve"> </w:t>
      </w:r>
      <w:r w:rsidR="00F57880">
        <w:rPr>
          <w:bCs/>
          <w:sz w:val="22"/>
          <w:szCs w:val="22"/>
        </w:rPr>
        <w:t>associated with</w:t>
      </w:r>
      <w:r w:rsidR="0002334F">
        <w:rPr>
          <w:bCs/>
          <w:sz w:val="22"/>
          <w:szCs w:val="22"/>
        </w:rPr>
        <w:t xml:space="preserve"> </w:t>
      </w:r>
      <w:r w:rsidR="007E242B">
        <w:rPr>
          <w:bCs/>
          <w:sz w:val="22"/>
          <w:szCs w:val="22"/>
        </w:rPr>
        <w:t xml:space="preserve">all-cause </w:t>
      </w:r>
      <w:r w:rsidR="0002334F">
        <w:rPr>
          <w:bCs/>
          <w:sz w:val="22"/>
          <w:szCs w:val="22"/>
        </w:rPr>
        <w:t xml:space="preserve">mortality </w:t>
      </w:r>
      <w:r w:rsidR="00F57880">
        <w:rPr>
          <w:bCs/>
          <w:sz w:val="22"/>
          <w:szCs w:val="22"/>
        </w:rPr>
        <w:t>in</w:t>
      </w:r>
      <w:r w:rsidR="0002334F">
        <w:rPr>
          <w:bCs/>
          <w:sz w:val="22"/>
          <w:szCs w:val="22"/>
        </w:rPr>
        <w:t xml:space="preserve"> a </w:t>
      </w:r>
      <w:r w:rsidR="00817069">
        <w:rPr>
          <w:sz w:val="22"/>
          <w:szCs w:val="22"/>
        </w:rPr>
        <w:t>multidrug</w:t>
      </w:r>
      <w:r w:rsidR="00311345">
        <w:rPr>
          <w:sz w:val="22"/>
          <w:szCs w:val="22"/>
        </w:rPr>
        <w:t xml:space="preserve"> </w:t>
      </w:r>
      <w:r w:rsidR="00817069">
        <w:rPr>
          <w:sz w:val="22"/>
          <w:szCs w:val="22"/>
        </w:rPr>
        <w:t>resistant</w:t>
      </w:r>
      <w:r w:rsidR="0002334F" w:rsidRPr="00D07074">
        <w:rPr>
          <w:sz w:val="22"/>
          <w:szCs w:val="22"/>
        </w:rPr>
        <w:t xml:space="preserve"> tuberculosis</w:t>
      </w:r>
      <w:r w:rsidR="0002334F">
        <w:rPr>
          <w:sz w:val="22"/>
          <w:szCs w:val="22"/>
        </w:rPr>
        <w:t xml:space="preserve"> cohort. </w:t>
      </w:r>
      <w:r w:rsidR="0002334F">
        <w:rPr>
          <w:bCs/>
          <w:sz w:val="22"/>
          <w:szCs w:val="22"/>
        </w:rPr>
        <w:t xml:space="preserve"> </w:t>
      </w:r>
    </w:p>
    <w:p w14:paraId="494C6B03" w14:textId="77777777" w:rsidR="0002334F" w:rsidRDefault="0002334F" w:rsidP="002D690E">
      <w:pPr>
        <w:spacing w:line="360" w:lineRule="auto"/>
        <w:rPr>
          <w:sz w:val="22"/>
          <w:szCs w:val="22"/>
        </w:rPr>
      </w:pPr>
    </w:p>
    <w:p w14:paraId="671E60A2" w14:textId="127262FE" w:rsidR="002D690E" w:rsidRPr="00D07074" w:rsidRDefault="002D690E" w:rsidP="002D690E">
      <w:pPr>
        <w:spacing w:line="360" w:lineRule="auto"/>
        <w:rPr>
          <w:b/>
          <w:bCs/>
          <w:sz w:val="22"/>
          <w:szCs w:val="22"/>
        </w:rPr>
      </w:pPr>
      <w:r w:rsidRPr="00D07074">
        <w:rPr>
          <w:b/>
          <w:bCs/>
          <w:sz w:val="22"/>
          <w:szCs w:val="22"/>
        </w:rPr>
        <w:t>Authors:</w:t>
      </w:r>
    </w:p>
    <w:p w14:paraId="136E14B3" w14:textId="77777777" w:rsidR="002D690E" w:rsidRPr="005F7AFE" w:rsidRDefault="002D690E" w:rsidP="002D690E">
      <w:pPr>
        <w:rPr>
          <w:sz w:val="22"/>
          <w:szCs w:val="22"/>
        </w:rPr>
      </w:pPr>
      <w:r w:rsidRPr="005F7AFE">
        <w:rPr>
          <w:sz w:val="22"/>
          <w:szCs w:val="22"/>
        </w:rPr>
        <w:t>Erjia Ge, Ph.D.</w:t>
      </w:r>
    </w:p>
    <w:p w14:paraId="011CD572" w14:textId="309585C7" w:rsidR="002D690E" w:rsidRPr="005F7AFE" w:rsidRDefault="00F776A9" w:rsidP="002D690E">
      <w:pPr>
        <w:rPr>
          <w:sz w:val="22"/>
          <w:szCs w:val="22"/>
        </w:rPr>
      </w:pPr>
      <w:hyperlink r:id="rId8" w:history="1">
        <w:r w:rsidR="00DC3CC9" w:rsidRPr="00DC3CC9">
          <w:rPr>
            <w:rStyle w:val="Hyperlink"/>
            <w:sz w:val="22"/>
            <w:szCs w:val="22"/>
          </w:rPr>
          <w:t>e</w:t>
        </w:r>
        <w:r w:rsidR="00DC3CC9" w:rsidRPr="00B470FB">
          <w:rPr>
            <w:rStyle w:val="Hyperlink"/>
            <w:sz w:val="22"/>
            <w:szCs w:val="22"/>
          </w:rPr>
          <w:t>rjia.ge@utoronto.ca</w:t>
        </w:r>
      </w:hyperlink>
    </w:p>
    <w:p w14:paraId="4A3535A7" w14:textId="370B0488" w:rsidR="002D690E" w:rsidRPr="005F7AFE" w:rsidRDefault="002D690E" w:rsidP="002D690E">
      <w:pPr>
        <w:spacing w:after="160"/>
        <w:rPr>
          <w:sz w:val="22"/>
          <w:szCs w:val="22"/>
        </w:rPr>
      </w:pPr>
      <w:r w:rsidRPr="005F7AFE">
        <w:rPr>
          <w:sz w:val="22"/>
          <w:szCs w:val="22"/>
        </w:rPr>
        <w:t>Dalla Lana School of Public Health, University of Toronto, Canada.</w:t>
      </w:r>
    </w:p>
    <w:p w14:paraId="76582D32" w14:textId="77777777" w:rsidR="002D690E" w:rsidRPr="005F7AFE" w:rsidRDefault="002D690E" w:rsidP="002D690E">
      <w:pPr>
        <w:rPr>
          <w:sz w:val="22"/>
          <w:szCs w:val="22"/>
        </w:rPr>
      </w:pPr>
      <w:proofErr w:type="spellStart"/>
      <w:r w:rsidRPr="005F7AFE">
        <w:rPr>
          <w:sz w:val="22"/>
          <w:szCs w:val="22"/>
        </w:rPr>
        <w:t>Jianhui</w:t>
      </w:r>
      <w:proofErr w:type="spellEnd"/>
      <w:r w:rsidRPr="005F7AFE">
        <w:rPr>
          <w:sz w:val="22"/>
          <w:szCs w:val="22"/>
        </w:rPr>
        <w:t xml:space="preserve"> Gao, MSc. </w:t>
      </w:r>
    </w:p>
    <w:p w14:paraId="2FCAC130" w14:textId="7339F064" w:rsidR="002D690E" w:rsidRPr="005F7AFE" w:rsidRDefault="00F776A9" w:rsidP="002D690E">
      <w:pPr>
        <w:rPr>
          <w:sz w:val="22"/>
          <w:szCs w:val="22"/>
        </w:rPr>
      </w:pPr>
      <w:hyperlink r:id="rId9" w:history="1">
        <w:r w:rsidR="00DC3CC9" w:rsidRPr="00DC3CC9">
          <w:rPr>
            <w:rStyle w:val="Hyperlink"/>
            <w:sz w:val="22"/>
            <w:szCs w:val="22"/>
          </w:rPr>
          <w:t>j</w:t>
        </w:r>
        <w:r w:rsidR="00DC3CC9" w:rsidRPr="00B470FB">
          <w:rPr>
            <w:rStyle w:val="Hyperlink"/>
            <w:sz w:val="22"/>
            <w:szCs w:val="22"/>
          </w:rPr>
          <w:t>ianhui.gao@mail.utoronto.ca</w:t>
        </w:r>
      </w:hyperlink>
    </w:p>
    <w:p w14:paraId="1062292E" w14:textId="601A42A0" w:rsidR="002D690E" w:rsidRPr="005F7AFE" w:rsidRDefault="002D690E" w:rsidP="002D690E">
      <w:pPr>
        <w:spacing w:after="160"/>
        <w:rPr>
          <w:sz w:val="22"/>
          <w:szCs w:val="22"/>
        </w:rPr>
      </w:pPr>
      <w:r w:rsidRPr="005F7AFE">
        <w:rPr>
          <w:sz w:val="22"/>
          <w:szCs w:val="22"/>
        </w:rPr>
        <w:t>Dalla Lana School of Public Health, University of Toronto, Canada.</w:t>
      </w:r>
    </w:p>
    <w:p w14:paraId="375DF10E" w14:textId="77777777" w:rsidR="0002334F" w:rsidRPr="005F7AFE" w:rsidRDefault="0002334F" w:rsidP="0002334F">
      <w:pPr>
        <w:rPr>
          <w:sz w:val="22"/>
          <w:szCs w:val="22"/>
        </w:rPr>
      </w:pPr>
      <w:proofErr w:type="spellStart"/>
      <w:r>
        <w:rPr>
          <w:sz w:val="22"/>
          <w:szCs w:val="22"/>
        </w:rPr>
        <w:t>Xiaolin</w:t>
      </w:r>
      <w:proofErr w:type="spellEnd"/>
      <w:r>
        <w:rPr>
          <w:sz w:val="22"/>
          <w:szCs w:val="22"/>
        </w:rPr>
        <w:t xml:space="preserve"> Wei, MD. MPH., Ph.D. </w:t>
      </w:r>
    </w:p>
    <w:p w14:paraId="134774F1" w14:textId="2F58F57F" w:rsidR="0002334F" w:rsidRDefault="0002334F" w:rsidP="0002334F">
      <w:pPr>
        <w:spacing w:after="160"/>
        <w:rPr>
          <w:sz w:val="22"/>
          <w:szCs w:val="22"/>
        </w:rPr>
      </w:pPr>
      <w:r w:rsidRPr="007C51FF">
        <w:rPr>
          <w:sz w:val="22"/>
          <w:szCs w:val="22"/>
        </w:rPr>
        <w:t>Dalla Lana School of Public Health, University of Toronto, Canada.</w:t>
      </w:r>
    </w:p>
    <w:p w14:paraId="20D27BEA" w14:textId="4520B834" w:rsidR="002D690E" w:rsidRPr="005F7AFE" w:rsidRDefault="002D690E" w:rsidP="002D690E">
      <w:pPr>
        <w:rPr>
          <w:sz w:val="22"/>
          <w:szCs w:val="22"/>
        </w:rPr>
      </w:pPr>
      <w:proofErr w:type="spellStart"/>
      <w:r w:rsidRPr="005F7AFE">
        <w:rPr>
          <w:sz w:val="22"/>
          <w:szCs w:val="22"/>
        </w:rPr>
        <w:t>Zhoupeng</w:t>
      </w:r>
      <w:proofErr w:type="spellEnd"/>
      <w:r w:rsidRPr="005F7AFE">
        <w:rPr>
          <w:sz w:val="22"/>
          <w:szCs w:val="22"/>
        </w:rPr>
        <w:t xml:space="preserve"> Ren, Ph.D.</w:t>
      </w:r>
    </w:p>
    <w:p w14:paraId="45E88E4F" w14:textId="77777777" w:rsidR="002D690E" w:rsidRPr="005F7AFE" w:rsidRDefault="00F776A9" w:rsidP="002D690E">
      <w:pPr>
        <w:rPr>
          <w:sz w:val="22"/>
          <w:szCs w:val="22"/>
        </w:rPr>
      </w:pPr>
      <w:hyperlink r:id="rId10" w:history="1">
        <w:r w:rsidR="002D690E" w:rsidRPr="005F7AFE">
          <w:rPr>
            <w:rStyle w:val="Hyperlink"/>
            <w:sz w:val="22"/>
            <w:szCs w:val="22"/>
          </w:rPr>
          <w:t>renzp@lreis.ac.cn</w:t>
        </w:r>
      </w:hyperlink>
    </w:p>
    <w:p w14:paraId="1C92D7A1" w14:textId="52B31AAA" w:rsidR="0091493C" w:rsidRDefault="002D690E" w:rsidP="002D690E">
      <w:pPr>
        <w:spacing w:after="160"/>
        <w:rPr>
          <w:sz w:val="22"/>
          <w:szCs w:val="22"/>
        </w:rPr>
      </w:pPr>
      <w:r w:rsidRPr="005F7AFE">
        <w:rPr>
          <w:sz w:val="22"/>
          <w:szCs w:val="22"/>
        </w:rPr>
        <w:t>State Key Laboratory of Resources and Environmental Information System (LREIS), Institute of Geographic Sciences and Natural Resources Research, Chinese Academy of Sciences, Beijing, China.</w:t>
      </w:r>
    </w:p>
    <w:p w14:paraId="1AF4C146" w14:textId="23C333AA" w:rsidR="00B0399C" w:rsidRDefault="00B0399C" w:rsidP="00B0399C">
      <w:pPr>
        <w:snapToGrid w:val="0"/>
        <w:rPr>
          <w:color w:val="000000" w:themeColor="text1"/>
          <w:sz w:val="22"/>
          <w:szCs w:val="22"/>
        </w:rPr>
      </w:pPr>
      <w:r w:rsidRPr="0002334F">
        <w:rPr>
          <w:color w:val="000000" w:themeColor="text1"/>
          <w:sz w:val="22"/>
          <w:szCs w:val="22"/>
        </w:rPr>
        <w:t>Jing Wei</w:t>
      </w:r>
      <w:r>
        <w:rPr>
          <w:color w:val="000000" w:themeColor="text1"/>
          <w:sz w:val="22"/>
          <w:szCs w:val="22"/>
        </w:rPr>
        <w:t xml:space="preserve">, </w:t>
      </w:r>
      <w:r w:rsidR="004D03A6">
        <w:rPr>
          <w:color w:val="000000" w:themeColor="text1"/>
          <w:sz w:val="22"/>
          <w:szCs w:val="22"/>
        </w:rPr>
        <w:t>Ph.D</w:t>
      </w:r>
      <w:r w:rsidR="008E45A0">
        <w:rPr>
          <w:color w:val="000000" w:themeColor="text1"/>
          <w:sz w:val="22"/>
          <w:szCs w:val="22"/>
        </w:rPr>
        <w:t>.</w:t>
      </w:r>
    </w:p>
    <w:p w14:paraId="3AA74DC2" w14:textId="77777777" w:rsidR="00B0399C" w:rsidRDefault="00F776A9" w:rsidP="00B0399C">
      <w:pPr>
        <w:snapToGrid w:val="0"/>
        <w:rPr>
          <w:color w:val="000000" w:themeColor="text1"/>
          <w:sz w:val="22"/>
          <w:szCs w:val="22"/>
        </w:rPr>
      </w:pPr>
      <w:hyperlink r:id="rId11" w:history="1">
        <w:r w:rsidR="00B0399C" w:rsidRPr="00A465E4">
          <w:rPr>
            <w:rStyle w:val="Hyperlink"/>
            <w:sz w:val="22"/>
            <w:szCs w:val="22"/>
          </w:rPr>
          <w:t>weijing_rs@163.com</w:t>
        </w:r>
      </w:hyperlink>
    </w:p>
    <w:p w14:paraId="058E004F" w14:textId="29E0DA05" w:rsidR="00832B91" w:rsidRDefault="00832B91" w:rsidP="002562EA">
      <w:pPr>
        <w:snapToGrid w:val="0"/>
        <w:rPr>
          <w:color w:val="000000" w:themeColor="text1"/>
          <w:sz w:val="22"/>
          <w:szCs w:val="22"/>
        </w:rPr>
      </w:pPr>
      <w:r>
        <w:rPr>
          <w:color w:val="000000" w:themeColor="text1"/>
          <w:sz w:val="22"/>
          <w:szCs w:val="22"/>
        </w:rPr>
        <w:t xml:space="preserve">Iowa </w:t>
      </w:r>
      <w:r w:rsidR="00133641">
        <w:rPr>
          <w:color w:val="000000" w:themeColor="text1"/>
          <w:sz w:val="22"/>
          <w:szCs w:val="22"/>
        </w:rPr>
        <w:t>Technology Institute, Department of Chemical and Biochemical Engineering, The University of Iowa,</w:t>
      </w:r>
      <w:r w:rsidR="002D666C">
        <w:rPr>
          <w:color w:val="000000" w:themeColor="text1"/>
          <w:sz w:val="22"/>
          <w:szCs w:val="22"/>
        </w:rPr>
        <w:t xml:space="preserve"> Iowa City, USA</w:t>
      </w:r>
      <w:r>
        <w:rPr>
          <w:color w:val="000000" w:themeColor="text1"/>
          <w:sz w:val="22"/>
          <w:szCs w:val="22"/>
        </w:rPr>
        <w:t xml:space="preserve"> </w:t>
      </w:r>
    </w:p>
    <w:p w14:paraId="7F4BFF4F" w14:textId="499C203F" w:rsidR="002562EA" w:rsidRPr="007C51FF" w:rsidRDefault="002562EA" w:rsidP="00155244">
      <w:pPr>
        <w:snapToGrid w:val="0"/>
        <w:spacing w:before="160"/>
        <w:rPr>
          <w:color w:val="000000" w:themeColor="text1"/>
          <w:sz w:val="22"/>
          <w:szCs w:val="22"/>
        </w:rPr>
      </w:pPr>
      <w:r w:rsidRPr="007C51FF">
        <w:rPr>
          <w:color w:val="000000" w:themeColor="text1"/>
          <w:sz w:val="22"/>
          <w:szCs w:val="22"/>
        </w:rPr>
        <w:t xml:space="preserve">Xin Liu, </w:t>
      </w:r>
      <w:r>
        <w:rPr>
          <w:color w:val="000000" w:themeColor="text1"/>
          <w:sz w:val="22"/>
          <w:szCs w:val="22"/>
        </w:rPr>
        <w:t>MSc</w:t>
      </w:r>
      <w:r w:rsidRPr="007C51FF">
        <w:rPr>
          <w:color w:val="000000" w:themeColor="text1"/>
          <w:sz w:val="22"/>
          <w:szCs w:val="22"/>
        </w:rPr>
        <w:t>.</w:t>
      </w:r>
    </w:p>
    <w:p w14:paraId="218E86B7" w14:textId="77777777" w:rsidR="002562EA" w:rsidRPr="007C51FF" w:rsidRDefault="00F776A9" w:rsidP="002562EA">
      <w:pPr>
        <w:snapToGrid w:val="0"/>
        <w:rPr>
          <w:color w:val="000000" w:themeColor="text1"/>
          <w:sz w:val="22"/>
          <w:szCs w:val="22"/>
        </w:rPr>
      </w:pPr>
      <w:hyperlink r:id="rId12" w:history="1">
        <w:r w:rsidR="002562EA" w:rsidRPr="007C51FF">
          <w:rPr>
            <w:rStyle w:val="Hyperlink"/>
            <w:sz w:val="22"/>
            <w:szCs w:val="22"/>
          </w:rPr>
          <w:t>liux@lreis.ac.cn</w:t>
        </w:r>
      </w:hyperlink>
    </w:p>
    <w:p w14:paraId="37961A44" w14:textId="45AAEAE1" w:rsidR="002562EA" w:rsidRPr="002562EA" w:rsidRDefault="002562EA" w:rsidP="002562EA">
      <w:pPr>
        <w:snapToGrid w:val="0"/>
        <w:spacing w:after="160"/>
        <w:rPr>
          <w:color w:val="000000" w:themeColor="text1"/>
          <w:sz w:val="22"/>
          <w:szCs w:val="22"/>
        </w:rPr>
      </w:pPr>
      <w:r w:rsidRPr="007C51FF">
        <w:rPr>
          <w:color w:val="000000" w:themeColor="text1"/>
          <w:sz w:val="22"/>
          <w:szCs w:val="22"/>
        </w:rPr>
        <w:t xml:space="preserve">School of Geoscience and Technology, Southwest Petroleum University, Sichuan Province, China.  </w:t>
      </w:r>
    </w:p>
    <w:p w14:paraId="42B16108" w14:textId="1ED9A5C9" w:rsidR="002D690E" w:rsidRPr="005F7AFE" w:rsidRDefault="002D690E" w:rsidP="002D690E">
      <w:pPr>
        <w:rPr>
          <w:sz w:val="22"/>
          <w:szCs w:val="22"/>
        </w:rPr>
      </w:pPr>
      <w:proofErr w:type="spellStart"/>
      <w:r w:rsidRPr="005F7AFE">
        <w:rPr>
          <w:sz w:val="22"/>
          <w:szCs w:val="22"/>
        </w:rPr>
        <w:t>Xiao</w:t>
      </w:r>
      <w:r w:rsidR="00105D3A">
        <w:rPr>
          <w:sz w:val="22"/>
          <w:szCs w:val="22"/>
        </w:rPr>
        <w:t>m</w:t>
      </w:r>
      <w:r w:rsidRPr="005F7AFE">
        <w:rPr>
          <w:sz w:val="22"/>
          <w:szCs w:val="22"/>
        </w:rPr>
        <w:t>eng</w:t>
      </w:r>
      <w:proofErr w:type="spellEnd"/>
      <w:r w:rsidRPr="005F7AFE">
        <w:rPr>
          <w:sz w:val="22"/>
          <w:szCs w:val="22"/>
        </w:rPr>
        <w:t xml:space="preserve"> Wang, MD, MPH,</w:t>
      </w:r>
    </w:p>
    <w:p w14:paraId="29E44A6C" w14:textId="77777777" w:rsidR="002D690E" w:rsidRPr="005F7AFE" w:rsidRDefault="00F776A9" w:rsidP="002D690E">
      <w:pPr>
        <w:rPr>
          <w:sz w:val="22"/>
          <w:szCs w:val="22"/>
          <w:lang w:val="en-US"/>
        </w:rPr>
      </w:pPr>
      <w:hyperlink r:id="rId13" w:history="1">
        <w:r w:rsidR="002D690E" w:rsidRPr="005F7AFE">
          <w:rPr>
            <w:rStyle w:val="Hyperlink"/>
            <w:sz w:val="22"/>
            <w:szCs w:val="22"/>
            <w:lang w:val="en-US"/>
          </w:rPr>
          <w:t>xmwang@cdc.zj.cn</w:t>
        </w:r>
      </w:hyperlink>
    </w:p>
    <w:p w14:paraId="3607D4E5" w14:textId="795E842C" w:rsidR="002D690E" w:rsidRPr="005F7AFE" w:rsidRDefault="002D690E" w:rsidP="002D690E">
      <w:pPr>
        <w:tabs>
          <w:tab w:val="left" w:pos="1620"/>
        </w:tabs>
        <w:spacing w:after="160"/>
        <w:rPr>
          <w:sz w:val="22"/>
          <w:szCs w:val="22"/>
          <w:lang w:val="en-US"/>
        </w:rPr>
      </w:pPr>
      <w:r w:rsidRPr="005F7AFE">
        <w:rPr>
          <w:sz w:val="22"/>
          <w:szCs w:val="22"/>
          <w:lang w:val="en-US"/>
        </w:rPr>
        <w:t>Zhejiang Provincial Centre for Disease Control and Prevention, Zhejiang Province, China.</w:t>
      </w:r>
    </w:p>
    <w:p w14:paraId="361EED34" w14:textId="77777777" w:rsidR="00425307" w:rsidRPr="005F7AFE" w:rsidRDefault="00425307" w:rsidP="00425307">
      <w:pPr>
        <w:tabs>
          <w:tab w:val="left" w:pos="1620"/>
        </w:tabs>
        <w:rPr>
          <w:sz w:val="22"/>
          <w:szCs w:val="22"/>
          <w:lang w:val="en-US"/>
        </w:rPr>
      </w:pPr>
      <w:proofErr w:type="spellStart"/>
      <w:r w:rsidRPr="005F7AFE">
        <w:rPr>
          <w:sz w:val="22"/>
          <w:szCs w:val="22"/>
          <w:lang w:val="en-US"/>
        </w:rPr>
        <w:t>Jieming</w:t>
      </w:r>
      <w:proofErr w:type="spellEnd"/>
      <w:r w:rsidRPr="005F7AFE">
        <w:rPr>
          <w:sz w:val="22"/>
          <w:szCs w:val="22"/>
          <w:lang w:val="en-US"/>
        </w:rPr>
        <w:t xml:space="preserve"> Zhong, MD, MPH</w:t>
      </w:r>
    </w:p>
    <w:p w14:paraId="5B7EB722" w14:textId="77777777" w:rsidR="00425307" w:rsidRPr="005F7AFE" w:rsidRDefault="00F776A9" w:rsidP="00425307">
      <w:pPr>
        <w:tabs>
          <w:tab w:val="left" w:pos="1620"/>
        </w:tabs>
        <w:rPr>
          <w:sz w:val="22"/>
          <w:szCs w:val="22"/>
          <w:lang w:val="en-US"/>
        </w:rPr>
      </w:pPr>
      <w:hyperlink r:id="rId14" w:history="1">
        <w:r w:rsidR="00425307" w:rsidRPr="005F7AFE">
          <w:rPr>
            <w:rStyle w:val="Hyperlink"/>
            <w:sz w:val="22"/>
            <w:szCs w:val="22"/>
            <w:lang w:val="en-US"/>
          </w:rPr>
          <w:t>jmzhong@cdc.zj.cn</w:t>
        </w:r>
      </w:hyperlink>
    </w:p>
    <w:p w14:paraId="27448BFD" w14:textId="589427EE" w:rsidR="00425307" w:rsidRPr="005F7AFE" w:rsidRDefault="00425307" w:rsidP="00425307">
      <w:pPr>
        <w:tabs>
          <w:tab w:val="left" w:pos="1620"/>
        </w:tabs>
        <w:spacing w:after="160"/>
        <w:rPr>
          <w:sz w:val="22"/>
          <w:szCs w:val="22"/>
          <w:lang w:val="en-US"/>
        </w:rPr>
      </w:pPr>
      <w:r w:rsidRPr="005F7AFE">
        <w:rPr>
          <w:sz w:val="22"/>
          <w:szCs w:val="22"/>
          <w:lang w:val="en-US"/>
        </w:rPr>
        <w:t>Zhejiang Provincial Centre for Disease Control and Prevention, Zhejiang Province, China.</w:t>
      </w:r>
    </w:p>
    <w:p w14:paraId="193AD77D" w14:textId="3F13BA75" w:rsidR="00AD24B4" w:rsidRPr="00E7439F" w:rsidRDefault="00FE42B1" w:rsidP="002D690E">
      <w:pPr>
        <w:rPr>
          <w:sz w:val="22"/>
          <w:szCs w:val="22"/>
          <w:lang w:val="it-IT"/>
        </w:rPr>
      </w:pPr>
      <w:proofErr w:type="spellStart"/>
      <w:r w:rsidRPr="00E7439F">
        <w:rPr>
          <w:sz w:val="22"/>
          <w:szCs w:val="22"/>
          <w:lang w:val="it-IT"/>
        </w:rPr>
        <w:t>Jing</w:t>
      </w:r>
      <w:r w:rsidR="00105D3A" w:rsidRPr="00E7439F">
        <w:rPr>
          <w:sz w:val="22"/>
          <w:szCs w:val="22"/>
          <w:lang w:val="it-IT"/>
        </w:rPr>
        <w:t>r</w:t>
      </w:r>
      <w:r w:rsidRPr="00E7439F">
        <w:rPr>
          <w:sz w:val="22"/>
          <w:szCs w:val="22"/>
          <w:lang w:val="it-IT"/>
        </w:rPr>
        <w:t>u</w:t>
      </w:r>
      <w:proofErr w:type="spellEnd"/>
      <w:r w:rsidRPr="00E7439F">
        <w:rPr>
          <w:sz w:val="22"/>
          <w:szCs w:val="22"/>
          <w:lang w:val="it-IT"/>
        </w:rPr>
        <w:t xml:space="preserve"> Lu, MD</w:t>
      </w:r>
      <w:r w:rsidR="009E1A30" w:rsidRPr="00E7439F">
        <w:rPr>
          <w:sz w:val="22"/>
          <w:szCs w:val="22"/>
          <w:lang w:val="it-IT"/>
        </w:rPr>
        <w:t>.</w:t>
      </w:r>
    </w:p>
    <w:p w14:paraId="5D031478" w14:textId="7CD262BA" w:rsidR="00226701" w:rsidRPr="00155244" w:rsidRDefault="00F776A9" w:rsidP="005D4469">
      <w:pPr>
        <w:rPr>
          <w:sz w:val="22"/>
          <w:szCs w:val="22"/>
        </w:rPr>
      </w:pPr>
      <w:hyperlink r:id="rId15" w:history="1">
        <w:r w:rsidR="000545B2" w:rsidRPr="00E7439F">
          <w:rPr>
            <w:rStyle w:val="Hyperlink"/>
            <w:sz w:val="22"/>
            <w:szCs w:val="22"/>
            <w:lang w:val="it-IT"/>
          </w:rPr>
          <w:t>ljr630214@sohu.com</w:t>
        </w:r>
      </w:hyperlink>
    </w:p>
    <w:p w14:paraId="7D138253" w14:textId="77274172" w:rsidR="002E2398" w:rsidRPr="005F7AFE" w:rsidRDefault="005D4469" w:rsidP="004227F1">
      <w:pPr>
        <w:spacing w:after="160"/>
        <w:rPr>
          <w:sz w:val="22"/>
          <w:szCs w:val="22"/>
        </w:rPr>
      </w:pPr>
      <w:r w:rsidRPr="005F7AFE">
        <w:rPr>
          <w:sz w:val="22"/>
          <w:szCs w:val="22"/>
        </w:rPr>
        <w:t xml:space="preserve">Institute of Ningxia Tuberculosis Control, The Fourth People’s Hospital of Ningxia. </w:t>
      </w:r>
    </w:p>
    <w:p w14:paraId="24D91413" w14:textId="2E22834A" w:rsidR="00226701" w:rsidRPr="005F7AFE" w:rsidRDefault="00226701" w:rsidP="00226701">
      <w:pPr>
        <w:rPr>
          <w:sz w:val="22"/>
          <w:szCs w:val="22"/>
        </w:rPr>
      </w:pPr>
      <w:proofErr w:type="spellStart"/>
      <w:r w:rsidRPr="005F7AFE">
        <w:rPr>
          <w:sz w:val="22"/>
          <w:szCs w:val="22"/>
        </w:rPr>
        <w:t>Xiaomei</w:t>
      </w:r>
      <w:proofErr w:type="spellEnd"/>
      <w:r w:rsidRPr="005F7AFE">
        <w:rPr>
          <w:sz w:val="22"/>
          <w:szCs w:val="22"/>
        </w:rPr>
        <w:t xml:space="preserve"> Tian, MD. MPH</w:t>
      </w:r>
    </w:p>
    <w:p w14:paraId="36E3E13D" w14:textId="77777777" w:rsidR="00226701" w:rsidRPr="005F7AFE" w:rsidRDefault="00F776A9" w:rsidP="00226701">
      <w:pPr>
        <w:rPr>
          <w:sz w:val="22"/>
          <w:szCs w:val="22"/>
        </w:rPr>
      </w:pPr>
      <w:hyperlink r:id="rId16" w:history="1">
        <w:r w:rsidR="00226701" w:rsidRPr="005F7AFE">
          <w:rPr>
            <w:rStyle w:val="Hyperlink"/>
            <w:sz w:val="22"/>
            <w:szCs w:val="22"/>
          </w:rPr>
          <w:t>Txm1227@126.com</w:t>
        </w:r>
      </w:hyperlink>
    </w:p>
    <w:p w14:paraId="3CA3BAD2" w14:textId="6CDEBCC3" w:rsidR="009E1A30" w:rsidRDefault="00226701" w:rsidP="004227F1">
      <w:pPr>
        <w:spacing w:after="160"/>
        <w:rPr>
          <w:sz w:val="22"/>
          <w:szCs w:val="22"/>
        </w:rPr>
      </w:pPr>
      <w:r w:rsidRPr="005F7AFE">
        <w:rPr>
          <w:sz w:val="22"/>
          <w:szCs w:val="22"/>
        </w:rPr>
        <w:t>Institute of Ningxia Tuberculosis Control, The Fourth People’s Hospital of Ningxia.</w:t>
      </w:r>
    </w:p>
    <w:p w14:paraId="34CD70D2" w14:textId="77777777" w:rsidR="002562EA" w:rsidRPr="007C51FF" w:rsidRDefault="002562EA" w:rsidP="002562EA">
      <w:pPr>
        <w:rPr>
          <w:sz w:val="22"/>
          <w:szCs w:val="22"/>
        </w:rPr>
      </w:pPr>
      <w:proofErr w:type="spellStart"/>
      <w:r w:rsidRPr="007C51FF">
        <w:rPr>
          <w:sz w:val="22"/>
          <w:szCs w:val="22"/>
        </w:rPr>
        <w:t>Fangrong</w:t>
      </w:r>
      <w:proofErr w:type="spellEnd"/>
      <w:r w:rsidRPr="007C51FF">
        <w:rPr>
          <w:sz w:val="22"/>
          <w:szCs w:val="22"/>
        </w:rPr>
        <w:t xml:space="preserve"> Fei, MD., MPH</w:t>
      </w:r>
    </w:p>
    <w:p w14:paraId="486E01AE" w14:textId="77777777" w:rsidR="002562EA" w:rsidRPr="007C51FF" w:rsidRDefault="00F776A9" w:rsidP="002562EA">
      <w:pPr>
        <w:tabs>
          <w:tab w:val="left" w:pos="1620"/>
        </w:tabs>
        <w:rPr>
          <w:sz w:val="22"/>
          <w:szCs w:val="22"/>
          <w:lang w:val="en-US"/>
        </w:rPr>
      </w:pPr>
      <w:hyperlink r:id="rId17" w:history="1">
        <w:r w:rsidR="002562EA" w:rsidRPr="007C51FF">
          <w:rPr>
            <w:rStyle w:val="Hyperlink"/>
            <w:sz w:val="22"/>
            <w:szCs w:val="22"/>
            <w:lang w:val="en-US"/>
          </w:rPr>
          <w:t>frfei@cdc.zj.cn</w:t>
        </w:r>
      </w:hyperlink>
    </w:p>
    <w:p w14:paraId="3F433E70" w14:textId="4B2A03EA" w:rsidR="002562EA" w:rsidRPr="007C51FF" w:rsidRDefault="002562EA" w:rsidP="002562EA">
      <w:pPr>
        <w:tabs>
          <w:tab w:val="left" w:pos="1620"/>
        </w:tabs>
        <w:spacing w:after="160"/>
        <w:rPr>
          <w:sz w:val="22"/>
          <w:szCs w:val="22"/>
          <w:lang w:val="en-US"/>
        </w:rPr>
      </w:pPr>
      <w:r w:rsidRPr="007C51FF">
        <w:rPr>
          <w:sz w:val="22"/>
          <w:szCs w:val="22"/>
          <w:lang w:val="en-US"/>
        </w:rPr>
        <w:t>Zhejiang Provincial Centre for Disease Control and Prevention, Zhejiang Province, China.</w:t>
      </w:r>
    </w:p>
    <w:p w14:paraId="11BF1A71" w14:textId="77777777" w:rsidR="002562EA" w:rsidRPr="007C51FF" w:rsidRDefault="002562EA" w:rsidP="002562EA">
      <w:pPr>
        <w:rPr>
          <w:sz w:val="22"/>
          <w:szCs w:val="22"/>
          <w:lang w:val="en-US"/>
        </w:rPr>
      </w:pPr>
      <w:r w:rsidRPr="007C51FF">
        <w:rPr>
          <w:sz w:val="22"/>
          <w:szCs w:val="22"/>
          <w:lang w:val="en-US"/>
        </w:rPr>
        <w:t>Bin Chen, MD, MPH.</w:t>
      </w:r>
    </w:p>
    <w:p w14:paraId="6B662D07" w14:textId="77777777" w:rsidR="002562EA" w:rsidRPr="007C51FF" w:rsidRDefault="00F776A9" w:rsidP="002562EA">
      <w:pPr>
        <w:rPr>
          <w:sz w:val="22"/>
          <w:szCs w:val="22"/>
        </w:rPr>
      </w:pPr>
      <w:hyperlink r:id="rId18" w:history="1">
        <w:r w:rsidR="002562EA" w:rsidRPr="007C51FF">
          <w:rPr>
            <w:rStyle w:val="Hyperlink"/>
            <w:sz w:val="22"/>
            <w:szCs w:val="22"/>
          </w:rPr>
          <w:t>bchen@cdc.zj.cn</w:t>
        </w:r>
      </w:hyperlink>
    </w:p>
    <w:p w14:paraId="7E0A644C" w14:textId="3DE7F180" w:rsidR="002562EA" w:rsidRPr="002562EA" w:rsidRDefault="002562EA" w:rsidP="002562EA">
      <w:pPr>
        <w:tabs>
          <w:tab w:val="left" w:pos="1620"/>
        </w:tabs>
        <w:spacing w:after="200"/>
        <w:rPr>
          <w:sz w:val="22"/>
          <w:szCs w:val="22"/>
          <w:lang w:val="en-US"/>
        </w:rPr>
      </w:pPr>
      <w:r w:rsidRPr="007C51FF">
        <w:rPr>
          <w:sz w:val="22"/>
          <w:szCs w:val="22"/>
          <w:lang w:val="en-US"/>
        </w:rPr>
        <w:t>Zhejiang Provincial Centre for Disease Control and Prevention, Zhejiang Province, China.</w:t>
      </w:r>
    </w:p>
    <w:p w14:paraId="689FF438" w14:textId="09D75F5D" w:rsidR="00AD24B4" w:rsidRPr="005F7AFE" w:rsidRDefault="000545B2" w:rsidP="002D690E">
      <w:pPr>
        <w:rPr>
          <w:sz w:val="22"/>
          <w:szCs w:val="22"/>
        </w:rPr>
      </w:pPr>
      <w:proofErr w:type="spellStart"/>
      <w:r w:rsidRPr="005F7AFE">
        <w:rPr>
          <w:sz w:val="22"/>
          <w:szCs w:val="22"/>
        </w:rPr>
        <w:lastRenderedPageBreak/>
        <w:t>Xiao</w:t>
      </w:r>
      <w:r w:rsidR="00105D3A">
        <w:rPr>
          <w:sz w:val="22"/>
          <w:szCs w:val="22"/>
        </w:rPr>
        <w:t>l</w:t>
      </w:r>
      <w:r w:rsidRPr="005F7AFE">
        <w:rPr>
          <w:sz w:val="22"/>
          <w:szCs w:val="22"/>
        </w:rPr>
        <w:t>in</w:t>
      </w:r>
      <w:proofErr w:type="spellEnd"/>
      <w:r w:rsidRPr="005F7AFE">
        <w:rPr>
          <w:sz w:val="22"/>
          <w:szCs w:val="22"/>
        </w:rPr>
        <w:t xml:space="preserve"> Wang, MD.</w:t>
      </w:r>
    </w:p>
    <w:p w14:paraId="6FE0A24A" w14:textId="438E1903" w:rsidR="000545B2" w:rsidRPr="005F7AFE" w:rsidRDefault="00F776A9" w:rsidP="002D690E">
      <w:pPr>
        <w:rPr>
          <w:sz w:val="22"/>
          <w:szCs w:val="22"/>
        </w:rPr>
      </w:pPr>
      <w:hyperlink r:id="rId19" w:history="1">
        <w:r w:rsidR="009A6F6E" w:rsidRPr="005F7AFE">
          <w:rPr>
            <w:rStyle w:val="Hyperlink"/>
            <w:sz w:val="22"/>
            <w:szCs w:val="22"/>
          </w:rPr>
          <w:t>wxldyj@163.com</w:t>
        </w:r>
      </w:hyperlink>
    </w:p>
    <w:p w14:paraId="2E092CA2" w14:textId="468A69A0" w:rsidR="00B62546" w:rsidRDefault="005D4469" w:rsidP="004227F1">
      <w:pPr>
        <w:spacing w:after="160"/>
        <w:rPr>
          <w:sz w:val="22"/>
          <w:szCs w:val="22"/>
        </w:rPr>
      </w:pPr>
      <w:r w:rsidRPr="005F7AFE">
        <w:rPr>
          <w:sz w:val="22"/>
          <w:szCs w:val="22"/>
        </w:rPr>
        <w:t xml:space="preserve">Institute of Ningxia Tuberculosis Control, The Fourth People’s Hospital of Ningxia. </w:t>
      </w:r>
    </w:p>
    <w:p w14:paraId="16FE67D7" w14:textId="77777777" w:rsidR="00464FA8" w:rsidRPr="005F7AFE" w:rsidRDefault="00464FA8" w:rsidP="00464FA8">
      <w:pPr>
        <w:rPr>
          <w:sz w:val="22"/>
          <w:szCs w:val="22"/>
        </w:rPr>
      </w:pPr>
      <w:r w:rsidRPr="005F7AFE">
        <w:rPr>
          <w:sz w:val="22"/>
          <w:szCs w:val="22"/>
        </w:rPr>
        <w:t>Ying Peng*, MD, MPH,</w:t>
      </w:r>
    </w:p>
    <w:p w14:paraId="38E26438" w14:textId="77777777" w:rsidR="00464FA8" w:rsidRPr="005F7AFE" w:rsidRDefault="00F776A9" w:rsidP="00464FA8">
      <w:pPr>
        <w:rPr>
          <w:sz w:val="22"/>
          <w:szCs w:val="22"/>
        </w:rPr>
      </w:pPr>
      <w:hyperlink r:id="rId20" w:history="1">
        <w:r w:rsidR="00464FA8" w:rsidRPr="005F7AFE">
          <w:rPr>
            <w:rStyle w:val="Hyperlink"/>
            <w:sz w:val="22"/>
            <w:szCs w:val="22"/>
          </w:rPr>
          <w:t>ypeng@cdc.zj.cn</w:t>
        </w:r>
      </w:hyperlink>
    </w:p>
    <w:p w14:paraId="418A7D2A" w14:textId="5615F601" w:rsidR="00464FA8" w:rsidRPr="00982DCF" w:rsidRDefault="00464FA8" w:rsidP="00464FA8">
      <w:pPr>
        <w:tabs>
          <w:tab w:val="left" w:pos="1620"/>
        </w:tabs>
        <w:spacing w:after="200"/>
        <w:rPr>
          <w:sz w:val="22"/>
          <w:szCs w:val="22"/>
        </w:rPr>
      </w:pPr>
      <w:r w:rsidRPr="005F7AFE">
        <w:rPr>
          <w:sz w:val="22"/>
          <w:szCs w:val="22"/>
          <w:lang w:val="en-US"/>
        </w:rPr>
        <w:t>Zhejiang Provincial Centre for Disease Control and Prevention, Zhejiang Province, China.</w:t>
      </w:r>
    </w:p>
    <w:p w14:paraId="25B78F3F" w14:textId="30BD60CF" w:rsidR="0022108E" w:rsidRPr="005F7AFE" w:rsidRDefault="0022108E" w:rsidP="0022108E">
      <w:pPr>
        <w:snapToGrid w:val="0"/>
        <w:rPr>
          <w:color w:val="000000" w:themeColor="text1"/>
          <w:sz w:val="22"/>
          <w:szCs w:val="22"/>
        </w:rPr>
      </w:pPr>
      <w:r w:rsidRPr="005F7AFE">
        <w:rPr>
          <w:color w:val="000000" w:themeColor="text1"/>
          <w:sz w:val="22"/>
          <w:szCs w:val="22"/>
        </w:rPr>
        <w:t>Ming Luo*, Ph.D.</w:t>
      </w:r>
    </w:p>
    <w:p w14:paraId="0DFF35C9" w14:textId="77777777" w:rsidR="0022108E" w:rsidRPr="005F7AFE" w:rsidRDefault="00F776A9" w:rsidP="0022108E">
      <w:pPr>
        <w:snapToGrid w:val="0"/>
        <w:rPr>
          <w:color w:val="000000" w:themeColor="text1"/>
          <w:sz w:val="22"/>
          <w:szCs w:val="22"/>
        </w:rPr>
      </w:pPr>
      <w:hyperlink r:id="rId21" w:history="1">
        <w:r w:rsidR="0022108E" w:rsidRPr="005F7AFE">
          <w:rPr>
            <w:rStyle w:val="Hyperlink"/>
            <w:sz w:val="22"/>
            <w:szCs w:val="22"/>
          </w:rPr>
          <w:t>luom38@mail.sysu.edu.cn</w:t>
        </w:r>
      </w:hyperlink>
    </w:p>
    <w:p w14:paraId="12BF27F4" w14:textId="77777777" w:rsidR="0022108E" w:rsidRPr="005F7AFE" w:rsidRDefault="0022108E" w:rsidP="0022108E">
      <w:pPr>
        <w:spacing w:after="200"/>
        <w:rPr>
          <w:color w:val="000000" w:themeColor="text1"/>
          <w:sz w:val="22"/>
          <w:szCs w:val="22"/>
        </w:rPr>
      </w:pPr>
      <w:r w:rsidRPr="005F7AFE">
        <w:rPr>
          <w:color w:val="000000" w:themeColor="text1"/>
          <w:sz w:val="22"/>
          <w:szCs w:val="22"/>
        </w:rPr>
        <w:t xml:space="preserve">School of Geography and Planning, Sun </w:t>
      </w:r>
      <w:proofErr w:type="spellStart"/>
      <w:r w:rsidRPr="005F7AFE">
        <w:rPr>
          <w:color w:val="000000" w:themeColor="text1"/>
          <w:sz w:val="22"/>
          <w:szCs w:val="22"/>
        </w:rPr>
        <w:t>Yat</w:t>
      </w:r>
      <w:proofErr w:type="spellEnd"/>
      <w:r w:rsidRPr="005F7AFE">
        <w:rPr>
          <w:color w:val="000000" w:themeColor="text1"/>
          <w:sz w:val="22"/>
          <w:szCs w:val="22"/>
        </w:rPr>
        <w:t xml:space="preserve">-Sen University, Guangdong Province, China. </w:t>
      </w:r>
    </w:p>
    <w:p w14:paraId="34A2E5E0" w14:textId="77777777" w:rsidR="00D07074" w:rsidRPr="00E7439F" w:rsidRDefault="00D07074" w:rsidP="00EF48D2">
      <w:pPr>
        <w:rPr>
          <w:sz w:val="22"/>
          <w:szCs w:val="22"/>
          <w:lang w:val="it-IT"/>
        </w:rPr>
      </w:pPr>
      <w:r w:rsidRPr="00E7439F">
        <w:rPr>
          <w:sz w:val="22"/>
          <w:szCs w:val="22"/>
          <w:lang w:val="it-IT"/>
        </w:rPr>
        <w:t>Juan Lei*, MD, MPH,</w:t>
      </w:r>
    </w:p>
    <w:p w14:paraId="014EE9CD" w14:textId="77777777" w:rsidR="005D4469" w:rsidRPr="00E7439F" w:rsidRDefault="00F776A9" w:rsidP="005D4469">
      <w:pPr>
        <w:rPr>
          <w:sz w:val="22"/>
          <w:szCs w:val="22"/>
          <w:lang w:val="it-IT"/>
        </w:rPr>
      </w:pPr>
      <w:hyperlink r:id="rId22" w:history="1">
        <w:r w:rsidR="00D07074" w:rsidRPr="00E7439F">
          <w:rPr>
            <w:rStyle w:val="Hyperlink"/>
            <w:sz w:val="22"/>
            <w:szCs w:val="22"/>
            <w:lang w:val="it-IT"/>
          </w:rPr>
          <w:t>leijuan.316@163.com</w:t>
        </w:r>
      </w:hyperlink>
    </w:p>
    <w:p w14:paraId="45E5B0D5" w14:textId="443EFCAA" w:rsidR="00D07074" w:rsidRPr="005F7AFE" w:rsidRDefault="005D4469" w:rsidP="005D4469">
      <w:pPr>
        <w:rPr>
          <w:sz w:val="22"/>
          <w:szCs w:val="22"/>
        </w:rPr>
      </w:pPr>
      <w:r w:rsidRPr="005F7AFE">
        <w:rPr>
          <w:sz w:val="22"/>
          <w:szCs w:val="22"/>
        </w:rPr>
        <w:t>Institute of Ningxia Tuberculosis Control, The Fourth People’s Hospital of Ningxia.</w:t>
      </w:r>
    </w:p>
    <w:p w14:paraId="41BF43CE" w14:textId="77777777" w:rsidR="005D4469" w:rsidRPr="005F7AFE" w:rsidRDefault="005D4469" w:rsidP="005D4469">
      <w:pPr>
        <w:rPr>
          <w:sz w:val="22"/>
          <w:szCs w:val="22"/>
        </w:rPr>
      </w:pPr>
    </w:p>
    <w:p w14:paraId="49935F28" w14:textId="77777777" w:rsidR="005D4469" w:rsidRPr="005F7AFE" w:rsidRDefault="005D4469" w:rsidP="005D4469">
      <w:pPr>
        <w:rPr>
          <w:sz w:val="22"/>
          <w:szCs w:val="22"/>
        </w:rPr>
      </w:pPr>
    </w:p>
    <w:p w14:paraId="4626804C" w14:textId="77777777" w:rsidR="002D690E" w:rsidRPr="005F7AFE" w:rsidRDefault="002D690E" w:rsidP="002D690E">
      <w:pPr>
        <w:spacing w:after="200"/>
        <w:rPr>
          <w:b/>
          <w:color w:val="000000" w:themeColor="text1"/>
          <w:sz w:val="22"/>
          <w:szCs w:val="22"/>
        </w:rPr>
      </w:pPr>
      <w:r w:rsidRPr="005F7AFE">
        <w:rPr>
          <w:b/>
          <w:color w:val="000000" w:themeColor="text1"/>
          <w:sz w:val="22"/>
          <w:szCs w:val="22"/>
        </w:rPr>
        <w:t>*Corresponding authors</w:t>
      </w:r>
    </w:p>
    <w:p w14:paraId="2011530A" w14:textId="62A9D575" w:rsidR="002D690E" w:rsidRPr="005F7AFE" w:rsidRDefault="002D690E" w:rsidP="001B2527">
      <w:pPr>
        <w:spacing w:after="300"/>
        <w:rPr>
          <w:sz w:val="22"/>
          <w:szCs w:val="22"/>
        </w:rPr>
      </w:pPr>
      <w:r w:rsidRPr="005F7AFE">
        <w:rPr>
          <w:color w:val="000000" w:themeColor="text1"/>
          <w:sz w:val="22"/>
          <w:szCs w:val="22"/>
        </w:rPr>
        <w:t>Address correspondence to Ying Peng, Ming Luo</w:t>
      </w:r>
      <w:r w:rsidR="00040B89">
        <w:rPr>
          <w:color w:val="000000" w:themeColor="text1"/>
          <w:sz w:val="22"/>
          <w:szCs w:val="22"/>
        </w:rPr>
        <w:t>, and Juan Lei</w:t>
      </w:r>
      <w:r w:rsidRPr="005F7AFE">
        <w:rPr>
          <w:color w:val="000000" w:themeColor="text1"/>
          <w:sz w:val="22"/>
          <w:szCs w:val="22"/>
        </w:rPr>
        <w:t xml:space="preserve">. </w:t>
      </w:r>
    </w:p>
    <w:p w14:paraId="146FC1B8" w14:textId="77777777" w:rsidR="001B2527" w:rsidRPr="005F7AFE" w:rsidRDefault="001B2527" w:rsidP="001B2527">
      <w:pPr>
        <w:rPr>
          <w:sz w:val="22"/>
          <w:szCs w:val="22"/>
        </w:rPr>
      </w:pPr>
      <w:r w:rsidRPr="005F7AFE">
        <w:rPr>
          <w:sz w:val="22"/>
          <w:szCs w:val="22"/>
        </w:rPr>
        <w:t>Ying Peng, MD, MPH</w:t>
      </w:r>
    </w:p>
    <w:p w14:paraId="1E676B0A" w14:textId="77777777" w:rsidR="001B2527" w:rsidRPr="005F7AFE" w:rsidRDefault="001B2527" w:rsidP="001B2527">
      <w:pPr>
        <w:tabs>
          <w:tab w:val="left" w:pos="1620"/>
        </w:tabs>
        <w:rPr>
          <w:sz w:val="22"/>
          <w:szCs w:val="22"/>
          <w:lang w:val="en-US"/>
        </w:rPr>
      </w:pPr>
      <w:r w:rsidRPr="005F7AFE">
        <w:rPr>
          <w:sz w:val="22"/>
          <w:szCs w:val="22"/>
          <w:lang w:val="en-US"/>
        </w:rPr>
        <w:t xml:space="preserve">Division of Tuberculosis, Zhejiang Provincial Centre for Disease Control and Prevention, </w:t>
      </w:r>
    </w:p>
    <w:p w14:paraId="00822525" w14:textId="77777777" w:rsidR="001B2527" w:rsidRPr="005F7AFE" w:rsidRDefault="001B2527" w:rsidP="001B2527">
      <w:pPr>
        <w:tabs>
          <w:tab w:val="left" w:pos="1620"/>
        </w:tabs>
        <w:rPr>
          <w:sz w:val="22"/>
          <w:szCs w:val="22"/>
          <w:lang w:val="en-US"/>
        </w:rPr>
      </w:pPr>
      <w:r w:rsidRPr="005F7AFE">
        <w:rPr>
          <w:sz w:val="22"/>
          <w:szCs w:val="22"/>
          <w:lang w:val="en-US"/>
        </w:rPr>
        <w:t xml:space="preserve">Address: 3399 Bin Sheng Road, Hangzhou, Zhejiang Province, China. </w:t>
      </w:r>
    </w:p>
    <w:p w14:paraId="1BD7ACFF" w14:textId="77777777" w:rsidR="001B2527" w:rsidRPr="005F7AFE" w:rsidRDefault="001B2527" w:rsidP="001B2527">
      <w:pPr>
        <w:rPr>
          <w:sz w:val="22"/>
          <w:szCs w:val="22"/>
        </w:rPr>
      </w:pPr>
      <w:r w:rsidRPr="005F7AFE">
        <w:rPr>
          <w:sz w:val="22"/>
          <w:szCs w:val="22"/>
          <w:lang w:val="en-US"/>
        </w:rPr>
        <w:t xml:space="preserve">Email: </w:t>
      </w:r>
      <w:hyperlink r:id="rId23" w:history="1">
        <w:r w:rsidRPr="005F7AFE">
          <w:rPr>
            <w:rStyle w:val="Hyperlink"/>
            <w:sz w:val="22"/>
            <w:szCs w:val="22"/>
          </w:rPr>
          <w:t>ypeng@cdc.zj.cn</w:t>
        </w:r>
      </w:hyperlink>
    </w:p>
    <w:p w14:paraId="6D794321" w14:textId="1F7D8718" w:rsidR="0079722D" w:rsidRDefault="001B2527" w:rsidP="0079722D">
      <w:pPr>
        <w:rPr>
          <w:sz w:val="22"/>
          <w:szCs w:val="22"/>
          <w:lang w:val="en-US"/>
        </w:rPr>
      </w:pPr>
      <w:r w:rsidRPr="005F7AFE">
        <w:rPr>
          <w:sz w:val="22"/>
          <w:szCs w:val="22"/>
          <w:lang w:val="en-US"/>
        </w:rPr>
        <w:t>Tel: +86 671-8711 5188</w:t>
      </w:r>
    </w:p>
    <w:p w14:paraId="2DB4771E" w14:textId="14E45B09" w:rsidR="0079722D" w:rsidRPr="005D6B81" w:rsidRDefault="0079722D" w:rsidP="004227F1">
      <w:pPr>
        <w:spacing w:after="160"/>
        <w:rPr>
          <w:sz w:val="22"/>
          <w:szCs w:val="22"/>
          <w:lang w:val="en-US"/>
        </w:rPr>
      </w:pPr>
      <w:r>
        <w:rPr>
          <w:sz w:val="22"/>
          <w:szCs w:val="22"/>
          <w:lang w:val="en-US"/>
        </w:rPr>
        <w:t xml:space="preserve">Fax: </w:t>
      </w:r>
      <w:r w:rsidR="005D6B81">
        <w:rPr>
          <w:sz w:val="22"/>
          <w:szCs w:val="22"/>
          <w:lang w:val="en-US"/>
        </w:rPr>
        <w:t xml:space="preserve">+86 </w:t>
      </w:r>
      <w:r w:rsidR="005D6B81" w:rsidRPr="005D6B81">
        <w:rPr>
          <w:sz w:val="22"/>
          <w:szCs w:val="22"/>
          <w:lang w:val="en-US"/>
        </w:rPr>
        <w:t>571-87115188</w:t>
      </w:r>
    </w:p>
    <w:p w14:paraId="022A2E49" w14:textId="77777777" w:rsidR="001B2527" w:rsidRPr="005F7AFE" w:rsidRDefault="001B2527" w:rsidP="001B2527">
      <w:pPr>
        <w:snapToGrid w:val="0"/>
        <w:rPr>
          <w:color w:val="000000" w:themeColor="text1"/>
          <w:sz w:val="22"/>
          <w:szCs w:val="22"/>
        </w:rPr>
      </w:pPr>
      <w:r w:rsidRPr="005F7AFE">
        <w:rPr>
          <w:color w:val="000000" w:themeColor="text1"/>
          <w:sz w:val="22"/>
          <w:szCs w:val="22"/>
        </w:rPr>
        <w:t>Ming Luo, Ph.D.</w:t>
      </w:r>
    </w:p>
    <w:p w14:paraId="3AD46B6E" w14:textId="18014293" w:rsidR="001B2527" w:rsidRPr="00B122DA" w:rsidRDefault="001B2527" w:rsidP="005707C9">
      <w:pPr>
        <w:rPr>
          <w:color w:val="000000" w:themeColor="text1"/>
          <w:sz w:val="22"/>
          <w:szCs w:val="22"/>
        </w:rPr>
      </w:pPr>
      <w:r w:rsidRPr="005F7AFE">
        <w:rPr>
          <w:color w:val="000000" w:themeColor="text1"/>
          <w:sz w:val="22"/>
          <w:szCs w:val="22"/>
        </w:rPr>
        <w:t xml:space="preserve">School of Geography and Planning, Sun </w:t>
      </w:r>
      <w:proofErr w:type="spellStart"/>
      <w:r w:rsidRPr="005F7AFE">
        <w:rPr>
          <w:color w:val="000000" w:themeColor="text1"/>
          <w:sz w:val="22"/>
          <w:szCs w:val="22"/>
        </w:rPr>
        <w:t>Yat</w:t>
      </w:r>
      <w:proofErr w:type="spellEnd"/>
      <w:r w:rsidRPr="005F7AFE">
        <w:rPr>
          <w:color w:val="000000" w:themeColor="text1"/>
          <w:sz w:val="22"/>
          <w:szCs w:val="22"/>
        </w:rPr>
        <w:t xml:space="preserve">-Sen University, Guangdong Province, China. </w:t>
      </w:r>
    </w:p>
    <w:p w14:paraId="027527FD" w14:textId="77777777" w:rsidR="005707C9" w:rsidRDefault="005707C9" w:rsidP="005707C9">
      <w:pPr>
        <w:rPr>
          <w:bCs/>
          <w:sz w:val="22"/>
          <w:szCs w:val="22"/>
        </w:rPr>
      </w:pPr>
      <w:r w:rsidRPr="005707C9">
        <w:rPr>
          <w:bCs/>
          <w:sz w:val="22"/>
          <w:szCs w:val="22"/>
        </w:rPr>
        <w:t xml:space="preserve">Room D311, </w:t>
      </w:r>
      <w:proofErr w:type="spellStart"/>
      <w:r w:rsidRPr="005707C9">
        <w:rPr>
          <w:bCs/>
          <w:sz w:val="22"/>
          <w:szCs w:val="22"/>
        </w:rPr>
        <w:t>Dihuan</w:t>
      </w:r>
      <w:proofErr w:type="spellEnd"/>
      <w:r w:rsidRPr="005707C9">
        <w:rPr>
          <w:bCs/>
          <w:sz w:val="22"/>
          <w:szCs w:val="22"/>
        </w:rPr>
        <w:t xml:space="preserve"> Building, Sun </w:t>
      </w:r>
      <w:proofErr w:type="spellStart"/>
      <w:r w:rsidRPr="005707C9">
        <w:rPr>
          <w:bCs/>
          <w:sz w:val="22"/>
          <w:szCs w:val="22"/>
        </w:rPr>
        <w:t>Yat-sen</w:t>
      </w:r>
      <w:proofErr w:type="spellEnd"/>
      <w:r w:rsidRPr="005707C9">
        <w:rPr>
          <w:bCs/>
          <w:sz w:val="22"/>
          <w:szCs w:val="22"/>
        </w:rPr>
        <w:t xml:space="preserve"> University, No. 135 West Xingang Road, Guangzhou</w:t>
      </w:r>
    </w:p>
    <w:p w14:paraId="0E7E45C3" w14:textId="7060A279" w:rsidR="001B2527" w:rsidRDefault="005707C9" w:rsidP="00A959ED">
      <w:pPr>
        <w:rPr>
          <w:bCs/>
          <w:sz w:val="22"/>
          <w:szCs w:val="22"/>
        </w:rPr>
      </w:pPr>
      <w:r w:rsidRPr="005707C9">
        <w:rPr>
          <w:bCs/>
          <w:sz w:val="22"/>
          <w:szCs w:val="22"/>
        </w:rPr>
        <w:t>510275, China</w:t>
      </w:r>
    </w:p>
    <w:p w14:paraId="4645DDAA" w14:textId="67318B0D" w:rsidR="00A959ED" w:rsidRPr="00A959ED" w:rsidRDefault="00F776A9" w:rsidP="00A959ED">
      <w:pPr>
        <w:snapToGrid w:val="0"/>
        <w:rPr>
          <w:color w:val="000000" w:themeColor="text1"/>
          <w:sz w:val="22"/>
          <w:szCs w:val="22"/>
        </w:rPr>
      </w:pPr>
      <w:hyperlink r:id="rId24" w:history="1">
        <w:r w:rsidR="00A959ED" w:rsidRPr="005F7AFE">
          <w:rPr>
            <w:rStyle w:val="Hyperlink"/>
            <w:sz w:val="22"/>
            <w:szCs w:val="22"/>
          </w:rPr>
          <w:t>luom38@mail.sysu.edu.cn</w:t>
        </w:r>
      </w:hyperlink>
    </w:p>
    <w:p w14:paraId="7C5CCE62" w14:textId="74974F48" w:rsidR="00C333DA" w:rsidRDefault="0079722D">
      <w:pPr>
        <w:rPr>
          <w:sz w:val="22"/>
          <w:szCs w:val="22"/>
        </w:rPr>
      </w:pPr>
      <w:r>
        <w:rPr>
          <w:sz w:val="22"/>
          <w:szCs w:val="22"/>
        </w:rPr>
        <w:t xml:space="preserve">Tel: </w:t>
      </w:r>
      <w:r w:rsidR="00A959ED" w:rsidRPr="00A959ED">
        <w:rPr>
          <w:sz w:val="22"/>
          <w:szCs w:val="22"/>
        </w:rPr>
        <w:t>+86 151 1209 5237</w:t>
      </w:r>
    </w:p>
    <w:p w14:paraId="160E2BE3" w14:textId="6A4C250B" w:rsidR="00C333DA" w:rsidRDefault="0079722D" w:rsidP="00E258E8">
      <w:pPr>
        <w:spacing w:after="160"/>
        <w:rPr>
          <w:sz w:val="22"/>
          <w:szCs w:val="22"/>
        </w:rPr>
      </w:pPr>
      <w:r>
        <w:rPr>
          <w:sz w:val="22"/>
          <w:szCs w:val="22"/>
        </w:rPr>
        <w:t xml:space="preserve">Fax: </w:t>
      </w:r>
      <w:r w:rsidR="003C393C">
        <w:rPr>
          <w:sz w:val="22"/>
          <w:szCs w:val="22"/>
        </w:rPr>
        <w:t>+86 20-84112593</w:t>
      </w:r>
    </w:p>
    <w:p w14:paraId="42EE0BB1" w14:textId="77777777" w:rsidR="00464FA8" w:rsidRPr="005F7AFE" w:rsidRDefault="00464FA8" w:rsidP="00464FA8">
      <w:pPr>
        <w:rPr>
          <w:sz w:val="22"/>
          <w:szCs w:val="22"/>
          <w:lang w:val="en-US"/>
        </w:rPr>
      </w:pPr>
      <w:r w:rsidRPr="005F7AFE">
        <w:rPr>
          <w:sz w:val="22"/>
          <w:szCs w:val="22"/>
          <w:lang w:val="en-US"/>
        </w:rPr>
        <w:t>Juan Lei, MD, MPH</w:t>
      </w:r>
    </w:p>
    <w:p w14:paraId="41435EB1" w14:textId="77777777" w:rsidR="00464FA8" w:rsidRPr="005F7AFE" w:rsidRDefault="00464FA8" w:rsidP="00464FA8">
      <w:pPr>
        <w:rPr>
          <w:sz w:val="22"/>
          <w:szCs w:val="22"/>
          <w:lang w:val="en-US"/>
        </w:rPr>
      </w:pPr>
      <w:r w:rsidRPr="005F7AFE">
        <w:rPr>
          <w:sz w:val="22"/>
          <w:szCs w:val="22"/>
          <w:lang w:val="en-US"/>
        </w:rPr>
        <w:t xml:space="preserve">Institute of Ningxia Tuberculosis Control, The Fourth People’s Hospital of Ningxia. </w:t>
      </w:r>
    </w:p>
    <w:p w14:paraId="50947A86" w14:textId="77777777" w:rsidR="00464FA8" w:rsidRPr="005F7AFE" w:rsidRDefault="00464FA8" w:rsidP="00464FA8">
      <w:pPr>
        <w:rPr>
          <w:sz w:val="22"/>
          <w:szCs w:val="22"/>
          <w:lang w:val="en-US"/>
        </w:rPr>
      </w:pPr>
      <w:r w:rsidRPr="005F7AFE">
        <w:rPr>
          <w:sz w:val="22"/>
          <w:szCs w:val="22"/>
          <w:lang w:val="en-US"/>
        </w:rPr>
        <w:t xml:space="preserve">713 Beijing W Rd, </w:t>
      </w:r>
      <w:proofErr w:type="spellStart"/>
      <w:r w:rsidRPr="005F7AFE">
        <w:rPr>
          <w:sz w:val="22"/>
          <w:szCs w:val="22"/>
          <w:lang w:val="en-US"/>
        </w:rPr>
        <w:t>Xi</w:t>
      </w:r>
      <w:r>
        <w:rPr>
          <w:sz w:val="22"/>
          <w:szCs w:val="22"/>
          <w:lang w:val="en-US"/>
        </w:rPr>
        <w:t>x</w:t>
      </w:r>
      <w:r w:rsidRPr="005F7AFE">
        <w:rPr>
          <w:sz w:val="22"/>
          <w:szCs w:val="22"/>
          <w:lang w:val="en-US"/>
        </w:rPr>
        <w:t>ia</w:t>
      </w:r>
      <w:proofErr w:type="spellEnd"/>
      <w:r w:rsidRPr="005F7AFE">
        <w:rPr>
          <w:sz w:val="22"/>
          <w:szCs w:val="22"/>
          <w:lang w:val="en-US"/>
        </w:rPr>
        <w:t xml:space="preserve"> District, Yinchuan, Ningxia, China</w:t>
      </w:r>
    </w:p>
    <w:p w14:paraId="6B2D58CB" w14:textId="77777777" w:rsidR="00464FA8" w:rsidRPr="005F7AFE" w:rsidRDefault="00F776A9" w:rsidP="00464FA8">
      <w:pPr>
        <w:rPr>
          <w:sz w:val="22"/>
          <w:szCs w:val="22"/>
          <w:lang w:val="en-US"/>
        </w:rPr>
      </w:pPr>
      <w:hyperlink r:id="rId25" w:history="1">
        <w:r w:rsidR="00464FA8" w:rsidRPr="005F7AFE">
          <w:rPr>
            <w:rStyle w:val="Hyperlink"/>
            <w:sz w:val="22"/>
            <w:szCs w:val="22"/>
            <w:lang w:val="en-US"/>
          </w:rPr>
          <w:t>leijuan.316@163.com</w:t>
        </w:r>
      </w:hyperlink>
    </w:p>
    <w:p w14:paraId="45B45616" w14:textId="5227362D" w:rsidR="00464FA8" w:rsidRDefault="00464FA8" w:rsidP="0079722D">
      <w:pPr>
        <w:rPr>
          <w:sz w:val="22"/>
          <w:szCs w:val="22"/>
          <w:lang w:val="en-US"/>
        </w:rPr>
      </w:pPr>
      <w:r w:rsidRPr="005F7AFE">
        <w:rPr>
          <w:sz w:val="22"/>
          <w:szCs w:val="22"/>
          <w:lang w:val="en-US"/>
        </w:rPr>
        <w:t>Tel: +86 13895480998</w:t>
      </w:r>
    </w:p>
    <w:p w14:paraId="455635AA" w14:textId="5D905A8E" w:rsidR="0079722D" w:rsidRDefault="0079722D" w:rsidP="00464FA8">
      <w:pPr>
        <w:spacing w:after="160"/>
        <w:rPr>
          <w:sz w:val="22"/>
          <w:szCs w:val="22"/>
          <w:lang w:val="en-US"/>
        </w:rPr>
      </w:pPr>
      <w:r>
        <w:rPr>
          <w:sz w:val="22"/>
          <w:szCs w:val="22"/>
          <w:lang w:val="en-US"/>
        </w:rPr>
        <w:t xml:space="preserve">Fax: </w:t>
      </w:r>
      <w:r w:rsidR="005D6B81">
        <w:rPr>
          <w:sz w:val="22"/>
          <w:szCs w:val="22"/>
          <w:lang w:val="en-US"/>
        </w:rPr>
        <w:t>+86</w:t>
      </w:r>
      <w:r w:rsidR="00350863">
        <w:rPr>
          <w:sz w:val="22"/>
          <w:szCs w:val="22"/>
          <w:lang w:val="en-US"/>
        </w:rPr>
        <w:t xml:space="preserve"> </w:t>
      </w:r>
      <w:r w:rsidR="005D6B81" w:rsidRPr="005D6B81">
        <w:rPr>
          <w:sz w:val="22"/>
          <w:szCs w:val="22"/>
          <w:lang w:val="en-US"/>
        </w:rPr>
        <w:t>951-2028278</w:t>
      </w:r>
    </w:p>
    <w:p w14:paraId="0960D3D1" w14:textId="77777777" w:rsidR="00464FA8" w:rsidRDefault="00464FA8">
      <w:pPr>
        <w:rPr>
          <w:sz w:val="22"/>
          <w:szCs w:val="22"/>
        </w:rPr>
      </w:pPr>
    </w:p>
    <w:p w14:paraId="7B397692" w14:textId="77777777" w:rsidR="00C333DA" w:rsidRDefault="00C333DA" w:rsidP="00C333DA">
      <w:pPr>
        <w:spacing w:line="480" w:lineRule="auto"/>
        <w:rPr>
          <w:b/>
          <w:sz w:val="22"/>
          <w:szCs w:val="22"/>
        </w:rPr>
      </w:pPr>
    </w:p>
    <w:p w14:paraId="5FFAA87A" w14:textId="77777777" w:rsidR="001D154A" w:rsidRDefault="001D154A">
      <w:pPr>
        <w:rPr>
          <w:b/>
          <w:sz w:val="22"/>
          <w:szCs w:val="22"/>
        </w:rPr>
      </w:pPr>
      <w:r>
        <w:rPr>
          <w:b/>
          <w:sz w:val="22"/>
          <w:szCs w:val="22"/>
        </w:rPr>
        <w:br w:type="page"/>
      </w:r>
    </w:p>
    <w:p w14:paraId="792EF166" w14:textId="459E2B94" w:rsidR="00C333DA" w:rsidRPr="007E5C00" w:rsidRDefault="00C333DA" w:rsidP="00C333DA">
      <w:pPr>
        <w:spacing w:line="480" w:lineRule="auto"/>
        <w:rPr>
          <w:b/>
          <w:sz w:val="22"/>
          <w:szCs w:val="22"/>
        </w:rPr>
      </w:pPr>
      <w:r w:rsidRPr="007E5C00">
        <w:rPr>
          <w:b/>
          <w:sz w:val="22"/>
          <w:szCs w:val="22"/>
        </w:rPr>
        <w:lastRenderedPageBreak/>
        <w:t>Author Contributions</w:t>
      </w:r>
    </w:p>
    <w:p w14:paraId="3973FFBF" w14:textId="1EF9E8A2" w:rsidR="00630D1D" w:rsidRDefault="00C333DA" w:rsidP="00630D1D">
      <w:pPr>
        <w:spacing w:line="480" w:lineRule="auto"/>
        <w:rPr>
          <w:sz w:val="22"/>
          <w:szCs w:val="22"/>
        </w:rPr>
      </w:pPr>
      <w:r w:rsidRPr="007E5C00">
        <w:rPr>
          <w:b/>
          <w:sz w:val="22"/>
          <w:szCs w:val="22"/>
        </w:rPr>
        <w:t>E</w:t>
      </w:r>
      <w:r>
        <w:rPr>
          <w:b/>
          <w:sz w:val="22"/>
          <w:szCs w:val="22"/>
        </w:rPr>
        <w:t>rjia</w:t>
      </w:r>
      <w:r>
        <w:rPr>
          <w:sz w:val="22"/>
          <w:szCs w:val="22"/>
        </w:rPr>
        <w:t xml:space="preserve"> </w:t>
      </w:r>
      <w:r w:rsidR="00630D1D" w:rsidRPr="00630D1D">
        <w:rPr>
          <w:b/>
          <w:sz w:val="22"/>
          <w:szCs w:val="22"/>
        </w:rPr>
        <w:t xml:space="preserve">Ge </w:t>
      </w:r>
      <w:r>
        <w:rPr>
          <w:sz w:val="22"/>
          <w:szCs w:val="22"/>
        </w:rPr>
        <w:t xml:space="preserve">contributed to the conception </w:t>
      </w:r>
      <w:r w:rsidR="0028388F">
        <w:rPr>
          <w:sz w:val="22"/>
          <w:szCs w:val="22"/>
        </w:rPr>
        <w:t xml:space="preserve">and </w:t>
      </w:r>
      <w:r>
        <w:rPr>
          <w:sz w:val="22"/>
          <w:szCs w:val="22"/>
        </w:rPr>
        <w:t xml:space="preserve">designed the study. </w:t>
      </w:r>
      <w:r w:rsidRPr="00105D3A">
        <w:rPr>
          <w:b/>
          <w:sz w:val="22"/>
          <w:szCs w:val="22"/>
        </w:rPr>
        <w:t>J</w:t>
      </w:r>
      <w:r>
        <w:rPr>
          <w:b/>
          <w:sz w:val="22"/>
          <w:szCs w:val="22"/>
        </w:rPr>
        <w:t>uan</w:t>
      </w:r>
      <w:r w:rsidR="00630D1D">
        <w:rPr>
          <w:b/>
          <w:sz w:val="22"/>
          <w:szCs w:val="22"/>
        </w:rPr>
        <w:t xml:space="preserve"> Lei</w:t>
      </w:r>
      <w:r w:rsidRPr="00105D3A">
        <w:rPr>
          <w:b/>
          <w:sz w:val="22"/>
          <w:szCs w:val="22"/>
        </w:rPr>
        <w:t>, Y</w:t>
      </w:r>
      <w:r>
        <w:rPr>
          <w:b/>
          <w:sz w:val="22"/>
          <w:szCs w:val="22"/>
        </w:rPr>
        <w:t>ing</w:t>
      </w:r>
      <w:r w:rsidR="00630D1D">
        <w:rPr>
          <w:b/>
          <w:sz w:val="22"/>
          <w:szCs w:val="22"/>
        </w:rPr>
        <w:t xml:space="preserve"> Peng</w:t>
      </w:r>
      <w:r w:rsidRPr="00105D3A">
        <w:rPr>
          <w:b/>
          <w:sz w:val="22"/>
          <w:szCs w:val="22"/>
        </w:rPr>
        <w:t xml:space="preserve">, </w:t>
      </w:r>
      <w:proofErr w:type="spellStart"/>
      <w:r w:rsidRPr="00105D3A">
        <w:rPr>
          <w:b/>
          <w:sz w:val="22"/>
          <w:szCs w:val="22"/>
        </w:rPr>
        <w:t>X</w:t>
      </w:r>
      <w:r>
        <w:rPr>
          <w:b/>
          <w:sz w:val="22"/>
          <w:szCs w:val="22"/>
        </w:rPr>
        <w:t>iaomeng</w:t>
      </w:r>
      <w:proofErr w:type="spellEnd"/>
      <w:r w:rsidR="00630D1D">
        <w:rPr>
          <w:b/>
          <w:sz w:val="22"/>
          <w:szCs w:val="22"/>
        </w:rPr>
        <w:t xml:space="preserve"> Wang</w:t>
      </w:r>
      <w:r w:rsidRPr="00105D3A">
        <w:rPr>
          <w:b/>
          <w:sz w:val="22"/>
          <w:szCs w:val="22"/>
        </w:rPr>
        <w:t xml:space="preserve">, </w:t>
      </w:r>
      <w:proofErr w:type="spellStart"/>
      <w:r w:rsidRPr="00105D3A">
        <w:rPr>
          <w:b/>
          <w:sz w:val="22"/>
          <w:szCs w:val="22"/>
        </w:rPr>
        <w:t>J</w:t>
      </w:r>
      <w:r w:rsidR="00630D1D">
        <w:rPr>
          <w:b/>
          <w:sz w:val="22"/>
          <w:szCs w:val="22"/>
        </w:rPr>
        <w:t>ieming</w:t>
      </w:r>
      <w:proofErr w:type="spellEnd"/>
      <w:r w:rsidR="00630D1D">
        <w:rPr>
          <w:b/>
          <w:sz w:val="22"/>
          <w:szCs w:val="22"/>
        </w:rPr>
        <w:t xml:space="preserve"> Zhong</w:t>
      </w:r>
      <w:r w:rsidRPr="00105D3A">
        <w:rPr>
          <w:b/>
          <w:sz w:val="22"/>
          <w:szCs w:val="22"/>
        </w:rPr>
        <w:t xml:space="preserve">, </w:t>
      </w:r>
      <w:proofErr w:type="spellStart"/>
      <w:r w:rsidRPr="00105D3A">
        <w:rPr>
          <w:b/>
          <w:sz w:val="22"/>
          <w:szCs w:val="22"/>
        </w:rPr>
        <w:t>F</w:t>
      </w:r>
      <w:r w:rsidR="00630D1D">
        <w:rPr>
          <w:b/>
          <w:sz w:val="22"/>
          <w:szCs w:val="22"/>
        </w:rPr>
        <w:t>angrong</w:t>
      </w:r>
      <w:proofErr w:type="spellEnd"/>
      <w:r w:rsidR="00630D1D">
        <w:rPr>
          <w:b/>
          <w:sz w:val="22"/>
          <w:szCs w:val="22"/>
        </w:rPr>
        <w:t xml:space="preserve"> Fei</w:t>
      </w:r>
      <w:r w:rsidRPr="00105D3A">
        <w:rPr>
          <w:b/>
          <w:sz w:val="22"/>
          <w:szCs w:val="22"/>
        </w:rPr>
        <w:t>, B</w:t>
      </w:r>
      <w:r w:rsidR="00630D1D">
        <w:rPr>
          <w:b/>
          <w:sz w:val="22"/>
          <w:szCs w:val="22"/>
        </w:rPr>
        <w:t>in Chen</w:t>
      </w:r>
      <w:r w:rsidRPr="00105D3A">
        <w:rPr>
          <w:b/>
          <w:sz w:val="22"/>
          <w:szCs w:val="22"/>
        </w:rPr>
        <w:t xml:space="preserve">, </w:t>
      </w:r>
      <w:proofErr w:type="spellStart"/>
      <w:r>
        <w:rPr>
          <w:b/>
          <w:sz w:val="22"/>
          <w:szCs w:val="22"/>
        </w:rPr>
        <w:t>J</w:t>
      </w:r>
      <w:r w:rsidR="00630D1D">
        <w:rPr>
          <w:b/>
          <w:sz w:val="22"/>
          <w:szCs w:val="22"/>
        </w:rPr>
        <w:t>ingru</w:t>
      </w:r>
      <w:proofErr w:type="spellEnd"/>
      <w:r w:rsidR="00630D1D">
        <w:rPr>
          <w:b/>
          <w:sz w:val="22"/>
          <w:szCs w:val="22"/>
        </w:rPr>
        <w:t xml:space="preserve"> Lu</w:t>
      </w:r>
      <w:r>
        <w:rPr>
          <w:b/>
          <w:sz w:val="22"/>
          <w:szCs w:val="22"/>
        </w:rPr>
        <w:t xml:space="preserve">, </w:t>
      </w:r>
      <w:proofErr w:type="spellStart"/>
      <w:r w:rsidRPr="00105D3A">
        <w:rPr>
          <w:b/>
          <w:sz w:val="22"/>
          <w:szCs w:val="22"/>
        </w:rPr>
        <w:t>X</w:t>
      </w:r>
      <w:r w:rsidR="00630D1D">
        <w:rPr>
          <w:b/>
          <w:sz w:val="22"/>
          <w:szCs w:val="22"/>
        </w:rPr>
        <w:t>iaomei</w:t>
      </w:r>
      <w:proofErr w:type="spellEnd"/>
      <w:r w:rsidR="00630D1D">
        <w:rPr>
          <w:b/>
          <w:sz w:val="22"/>
          <w:szCs w:val="22"/>
        </w:rPr>
        <w:t xml:space="preserve"> Tian</w:t>
      </w:r>
      <w:r>
        <w:rPr>
          <w:sz w:val="22"/>
          <w:szCs w:val="22"/>
        </w:rPr>
        <w:t xml:space="preserve">, and </w:t>
      </w:r>
      <w:proofErr w:type="spellStart"/>
      <w:r w:rsidRPr="00105D3A">
        <w:rPr>
          <w:b/>
          <w:sz w:val="22"/>
          <w:szCs w:val="22"/>
        </w:rPr>
        <w:t>X</w:t>
      </w:r>
      <w:r w:rsidR="00630D1D">
        <w:rPr>
          <w:b/>
          <w:sz w:val="22"/>
          <w:szCs w:val="22"/>
        </w:rPr>
        <w:t>iaolin</w:t>
      </w:r>
      <w:proofErr w:type="spellEnd"/>
      <w:r w:rsidR="00630D1D">
        <w:rPr>
          <w:b/>
          <w:sz w:val="22"/>
          <w:szCs w:val="22"/>
        </w:rPr>
        <w:t xml:space="preserve"> Wang</w:t>
      </w:r>
      <w:r>
        <w:rPr>
          <w:sz w:val="22"/>
          <w:szCs w:val="22"/>
        </w:rPr>
        <w:t xml:space="preserve"> collected the MDR-TB cohort data; </w:t>
      </w:r>
      <w:proofErr w:type="spellStart"/>
      <w:r w:rsidRPr="00105D3A">
        <w:rPr>
          <w:b/>
          <w:sz w:val="22"/>
          <w:szCs w:val="22"/>
        </w:rPr>
        <w:t>Z</w:t>
      </w:r>
      <w:r w:rsidR="00630D1D">
        <w:rPr>
          <w:b/>
          <w:sz w:val="22"/>
          <w:szCs w:val="22"/>
        </w:rPr>
        <w:t>oupeng</w:t>
      </w:r>
      <w:proofErr w:type="spellEnd"/>
      <w:r w:rsidR="00630D1D">
        <w:rPr>
          <w:b/>
          <w:sz w:val="22"/>
          <w:szCs w:val="22"/>
        </w:rPr>
        <w:t xml:space="preserve"> </w:t>
      </w:r>
      <w:r w:rsidRPr="00105D3A">
        <w:rPr>
          <w:b/>
          <w:sz w:val="22"/>
          <w:szCs w:val="22"/>
        </w:rPr>
        <w:t>R</w:t>
      </w:r>
      <w:r w:rsidR="00630D1D">
        <w:rPr>
          <w:b/>
          <w:sz w:val="22"/>
          <w:szCs w:val="22"/>
        </w:rPr>
        <w:t>en</w:t>
      </w:r>
      <w:r w:rsidRPr="00105D3A">
        <w:rPr>
          <w:b/>
          <w:sz w:val="22"/>
          <w:szCs w:val="22"/>
        </w:rPr>
        <w:t>, X</w:t>
      </w:r>
      <w:r w:rsidR="00630D1D">
        <w:rPr>
          <w:b/>
          <w:sz w:val="22"/>
          <w:szCs w:val="22"/>
        </w:rPr>
        <w:t>in Liu</w:t>
      </w:r>
      <w:r w:rsidRPr="00105D3A">
        <w:rPr>
          <w:b/>
          <w:sz w:val="22"/>
          <w:szCs w:val="22"/>
        </w:rPr>
        <w:t>, M</w:t>
      </w:r>
      <w:r w:rsidR="00630D1D">
        <w:rPr>
          <w:b/>
          <w:sz w:val="22"/>
          <w:szCs w:val="22"/>
        </w:rPr>
        <w:t>ing</w:t>
      </w:r>
      <w:r w:rsidR="0030138B">
        <w:rPr>
          <w:b/>
          <w:sz w:val="22"/>
          <w:szCs w:val="22"/>
        </w:rPr>
        <w:t xml:space="preserve"> </w:t>
      </w:r>
      <w:r w:rsidRPr="00105D3A">
        <w:rPr>
          <w:b/>
          <w:sz w:val="22"/>
          <w:szCs w:val="22"/>
        </w:rPr>
        <w:t>L</w:t>
      </w:r>
      <w:r w:rsidR="00630D1D">
        <w:rPr>
          <w:b/>
          <w:sz w:val="22"/>
          <w:szCs w:val="22"/>
        </w:rPr>
        <w:t>uo</w:t>
      </w:r>
      <w:r w:rsidRPr="00105D3A">
        <w:rPr>
          <w:b/>
          <w:sz w:val="22"/>
          <w:szCs w:val="22"/>
        </w:rPr>
        <w:t>,</w:t>
      </w:r>
      <w:r>
        <w:rPr>
          <w:sz w:val="22"/>
          <w:szCs w:val="22"/>
        </w:rPr>
        <w:t xml:space="preserve"> and </w:t>
      </w:r>
      <w:r w:rsidRPr="00105D3A">
        <w:rPr>
          <w:b/>
          <w:sz w:val="22"/>
          <w:szCs w:val="22"/>
        </w:rPr>
        <w:t>J</w:t>
      </w:r>
      <w:r w:rsidR="00630D1D">
        <w:rPr>
          <w:b/>
          <w:sz w:val="22"/>
          <w:szCs w:val="22"/>
        </w:rPr>
        <w:t xml:space="preserve">ing </w:t>
      </w:r>
      <w:r w:rsidRPr="00105D3A">
        <w:rPr>
          <w:b/>
          <w:sz w:val="22"/>
          <w:szCs w:val="22"/>
        </w:rPr>
        <w:t>W</w:t>
      </w:r>
      <w:r w:rsidR="00630D1D">
        <w:rPr>
          <w:b/>
          <w:sz w:val="22"/>
          <w:szCs w:val="22"/>
        </w:rPr>
        <w:t>ei</w:t>
      </w:r>
      <w:r w:rsidRPr="00105D3A">
        <w:rPr>
          <w:b/>
          <w:sz w:val="22"/>
          <w:szCs w:val="22"/>
        </w:rPr>
        <w:t xml:space="preserve"> </w:t>
      </w:r>
      <w:r>
        <w:rPr>
          <w:sz w:val="22"/>
          <w:szCs w:val="22"/>
        </w:rPr>
        <w:t xml:space="preserve">collected and collated </w:t>
      </w:r>
      <w:r w:rsidRPr="00105D3A">
        <w:rPr>
          <w:sz w:val="22"/>
          <w:szCs w:val="22"/>
        </w:rPr>
        <w:t xml:space="preserve">NDVI, </w:t>
      </w:r>
      <w:r w:rsidR="001E686B">
        <w:rPr>
          <w:sz w:val="22"/>
          <w:szCs w:val="22"/>
        </w:rPr>
        <w:t>z</w:t>
      </w:r>
      <w:r w:rsidRPr="00105D3A">
        <w:rPr>
          <w:sz w:val="22"/>
          <w:szCs w:val="22"/>
        </w:rPr>
        <w:t>PM</w:t>
      </w:r>
      <w:r w:rsidRPr="00105D3A">
        <w:rPr>
          <w:sz w:val="22"/>
          <w:szCs w:val="22"/>
          <w:vertAlign w:val="subscript"/>
        </w:rPr>
        <w:t>2.5</w:t>
      </w:r>
      <w:r w:rsidRPr="00105D3A">
        <w:rPr>
          <w:sz w:val="22"/>
          <w:szCs w:val="22"/>
        </w:rPr>
        <w:t xml:space="preserve"> and other environmental data; </w:t>
      </w:r>
      <w:r w:rsidRPr="00105D3A">
        <w:rPr>
          <w:b/>
          <w:sz w:val="22"/>
          <w:szCs w:val="22"/>
        </w:rPr>
        <w:t>E</w:t>
      </w:r>
      <w:r w:rsidR="00630D1D">
        <w:rPr>
          <w:b/>
          <w:sz w:val="22"/>
          <w:szCs w:val="22"/>
        </w:rPr>
        <w:t xml:space="preserve">rjia </w:t>
      </w:r>
      <w:r w:rsidRPr="00105D3A">
        <w:rPr>
          <w:b/>
          <w:sz w:val="22"/>
          <w:szCs w:val="22"/>
        </w:rPr>
        <w:t>G</w:t>
      </w:r>
      <w:r w:rsidR="00630D1D">
        <w:rPr>
          <w:b/>
          <w:sz w:val="22"/>
          <w:szCs w:val="22"/>
        </w:rPr>
        <w:t>e</w:t>
      </w:r>
      <w:r>
        <w:rPr>
          <w:sz w:val="22"/>
          <w:szCs w:val="22"/>
        </w:rPr>
        <w:t xml:space="preserve"> and </w:t>
      </w:r>
      <w:proofErr w:type="spellStart"/>
      <w:r w:rsidRPr="00105D3A">
        <w:rPr>
          <w:b/>
          <w:sz w:val="22"/>
          <w:szCs w:val="22"/>
        </w:rPr>
        <w:t>J</w:t>
      </w:r>
      <w:r w:rsidR="00630D1D">
        <w:rPr>
          <w:b/>
          <w:sz w:val="22"/>
          <w:szCs w:val="22"/>
        </w:rPr>
        <w:t>ianhui</w:t>
      </w:r>
      <w:proofErr w:type="spellEnd"/>
      <w:r w:rsidR="00630D1D">
        <w:rPr>
          <w:b/>
          <w:sz w:val="22"/>
          <w:szCs w:val="22"/>
        </w:rPr>
        <w:t xml:space="preserve"> </w:t>
      </w:r>
      <w:r w:rsidRPr="00105D3A">
        <w:rPr>
          <w:b/>
          <w:sz w:val="22"/>
          <w:szCs w:val="22"/>
        </w:rPr>
        <w:t>G</w:t>
      </w:r>
      <w:r w:rsidR="00630D1D">
        <w:rPr>
          <w:b/>
          <w:sz w:val="22"/>
          <w:szCs w:val="22"/>
        </w:rPr>
        <w:t>ao</w:t>
      </w:r>
      <w:r>
        <w:rPr>
          <w:sz w:val="22"/>
          <w:szCs w:val="22"/>
        </w:rPr>
        <w:t xml:space="preserve"> conducted statistical analysis; </w:t>
      </w:r>
      <w:r w:rsidRPr="00105D3A">
        <w:rPr>
          <w:b/>
          <w:sz w:val="22"/>
          <w:szCs w:val="22"/>
        </w:rPr>
        <w:t>E</w:t>
      </w:r>
      <w:r w:rsidR="00630D1D">
        <w:rPr>
          <w:b/>
          <w:sz w:val="22"/>
          <w:szCs w:val="22"/>
        </w:rPr>
        <w:t xml:space="preserve">rjia </w:t>
      </w:r>
      <w:r w:rsidRPr="00105D3A">
        <w:rPr>
          <w:b/>
          <w:sz w:val="22"/>
          <w:szCs w:val="22"/>
        </w:rPr>
        <w:t>G</w:t>
      </w:r>
      <w:r w:rsidR="00630D1D">
        <w:rPr>
          <w:b/>
          <w:sz w:val="22"/>
          <w:szCs w:val="22"/>
        </w:rPr>
        <w:t>e</w:t>
      </w:r>
      <w:r w:rsidR="0030138B" w:rsidRPr="0030138B">
        <w:rPr>
          <w:sz w:val="22"/>
          <w:szCs w:val="22"/>
        </w:rPr>
        <w:t xml:space="preserve"> </w:t>
      </w:r>
      <w:r w:rsidR="008E0049">
        <w:rPr>
          <w:sz w:val="22"/>
          <w:szCs w:val="22"/>
        </w:rPr>
        <w:t xml:space="preserve">and </w:t>
      </w:r>
      <w:proofErr w:type="spellStart"/>
      <w:r w:rsidR="008E0049" w:rsidRPr="00105D3A">
        <w:rPr>
          <w:b/>
          <w:sz w:val="22"/>
          <w:szCs w:val="22"/>
        </w:rPr>
        <w:t>X</w:t>
      </w:r>
      <w:r w:rsidR="008E0049">
        <w:rPr>
          <w:b/>
          <w:sz w:val="22"/>
          <w:szCs w:val="22"/>
        </w:rPr>
        <w:t>iaolin</w:t>
      </w:r>
      <w:proofErr w:type="spellEnd"/>
      <w:r w:rsidR="008E0049">
        <w:rPr>
          <w:b/>
          <w:sz w:val="22"/>
          <w:szCs w:val="22"/>
        </w:rPr>
        <w:t xml:space="preserve"> </w:t>
      </w:r>
      <w:r w:rsidR="008E0049" w:rsidRPr="00105D3A">
        <w:rPr>
          <w:b/>
          <w:sz w:val="22"/>
          <w:szCs w:val="22"/>
        </w:rPr>
        <w:t>W</w:t>
      </w:r>
      <w:r w:rsidR="008E0049">
        <w:rPr>
          <w:b/>
          <w:sz w:val="22"/>
          <w:szCs w:val="22"/>
        </w:rPr>
        <w:t xml:space="preserve">ei </w:t>
      </w:r>
      <w:r w:rsidR="0030138B">
        <w:rPr>
          <w:sz w:val="22"/>
          <w:szCs w:val="22"/>
        </w:rPr>
        <w:t>drafted the manuscript;</w:t>
      </w:r>
      <w:r>
        <w:rPr>
          <w:sz w:val="22"/>
          <w:szCs w:val="22"/>
        </w:rPr>
        <w:t xml:space="preserve"> </w:t>
      </w:r>
      <w:r w:rsidRPr="0030195C">
        <w:rPr>
          <w:b/>
          <w:sz w:val="22"/>
          <w:szCs w:val="22"/>
        </w:rPr>
        <w:t>Y</w:t>
      </w:r>
      <w:r w:rsidR="00630D1D">
        <w:rPr>
          <w:b/>
          <w:sz w:val="22"/>
          <w:szCs w:val="22"/>
        </w:rPr>
        <w:t>ing Peng</w:t>
      </w:r>
      <w:r w:rsidRPr="0030195C">
        <w:rPr>
          <w:b/>
          <w:sz w:val="22"/>
          <w:szCs w:val="22"/>
        </w:rPr>
        <w:t>, M</w:t>
      </w:r>
      <w:r w:rsidR="00630D1D">
        <w:rPr>
          <w:b/>
          <w:sz w:val="22"/>
          <w:szCs w:val="22"/>
        </w:rPr>
        <w:t xml:space="preserve">ing </w:t>
      </w:r>
      <w:r w:rsidRPr="0030195C">
        <w:rPr>
          <w:b/>
          <w:sz w:val="22"/>
          <w:szCs w:val="22"/>
        </w:rPr>
        <w:t>L</w:t>
      </w:r>
      <w:r w:rsidR="00630D1D">
        <w:rPr>
          <w:b/>
          <w:sz w:val="22"/>
          <w:szCs w:val="22"/>
        </w:rPr>
        <w:t>uo</w:t>
      </w:r>
      <w:r w:rsidR="0033423D" w:rsidRPr="0030195C">
        <w:rPr>
          <w:b/>
          <w:sz w:val="22"/>
          <w:szCs w:val="22"/>
        </w:rPr>
        <w:t>,</w:t>
      </w:r>
      <w:r>
        <w:rPr>
          <w:sz w:val="22"/>
          <w:szCs w:val="22"/>
        </w:rPr>
        <w:t xml:space="preserve"> </w:t>
      </w:r>
      <w:r w:rsidR="0033423D">
        <w:rPr>
          <w:sz w:val="22"/>
          <w:szCs w:val="22"/>
        </w:rPr>
        <w:t xml:space="preserve">and </w:t>
      </w:r>
      <w:r w:rsidR="0033423D" w:rsidRPr="0030195C">
        <w:rPr>
          <w:b/>
          <w:sz w:val="22"/>
          <w:szCs w:val="22"/>
        </w:rPr>
        <w:t>J</w:t>
      </w:r>
      <w:r w:rsidR="0033423D">
        <w:rPr>
          <w:b/>
          <w:sz w:val="22"/>
          <w:szCs w:val="22"/>
        </w:rPr>
        <w:t xml:space="preserve">ing </w:t>
      </w:r>
      <w:r w:rsidR="0033423D" w:rsidRPr="0030195C">
        <w:rPr>
          <w:b/>
          <w:sz w:val="22"/>
          <w:szCs w:val="22"/>
        </w:rPr>
        <w:t>W</w:t>
      </w:r>
      <w:r w:rsidR="0033423D">
        <w:rPr>
          <w:b/>
          <w:sz w:val="22"/>
          <w:szCs w:val="22"/>
        </w:rPr>
        <w:t xml:space="preserve">ei </w:t>
      </w:r>
      <w:r w:rsidR="008E0049">
        <w:rPr>
          <w:sz w:val="22"/>
          <w:szCs w:val="22"/>
        </w:rPr>
        <w:t>provided comments</w:t>
      </w:r>
      <w:r>
        <w:rPr>
          <w:sz w:val="22"/>
          <w:szCs w:val="22"/>
        </w:rPr>
        <w:t xml:space="preserve"> and</w:t>
      </w:r>
      <w:r w:rsidR="008E0049">
        <w:rPr>
          <w:sz w:val="22"/>
          <w:szCs w:val="22"/>
        </w:rPr>
        <w:t xml:space="preserve"> helped interpret</w:t>
      </w:r>
      <w:r>
        <w:rPr>
          <w:sz w:val="22"/>
          <w:szCs w:val="22"/>
        </w:rPr>
        <w:t xml:space="preserve"> results for important intellectual content. All authors reviewed and accepted the final version of the manuscript.  </w:t>
      </w:r>
      <w:r w:rsidR="001E686B">
        <w:rPr>
          <w:rFonts w:hint="eastAsia"/>
          <w:sz w:val="22"/>
          <w:szCs w:val="22"/>
        </w:rPr>
        <w:t>z</w:t>
      </w:r>
    </w:p>
    <w:p w14:paraId="1B73CC4E" w14:textId="77777777" w:rsidR="00630D1D" w:rsidRDefault="00630D1D" w:rsidP="00630D1D">
      <w:pPr>
        <w:spacing w:line="480" w:lineRule="auto"/>
        <w:rPr>
          <w:sz w:val="22"/>
          <w:szCs w:val="22"/>
        </w:rPr>
      </w:pPr>
    </w:p>
    <w:p w14:paraId="6D30735F" w14:textId="77777777" w:rsidR="00630D1D" w:rsidRPr="00D07074" w:rsidRDefault="00630D1D" w:rsidP="00630D1D">
      <w:pPr>
        <w:spacing w:line="480" w:lineRule="auto"/>
        <w:rPr>
          <w:b/>
          <w:bCs/>
          <w:sz w:val="22"/>
          <w:szCs w:val="22"/>
        </w:rPr>
      </w:pPr>
      <w:r w:rsidRPr="00D07074">
        <w:rPr>
          <w:b/>
          <w:bCs/>
          <w:sz w:val="22"/>
          <w:szCs w:val="22"/>
        </w:rPr>
        <w:t>Acknowledgement</w:t>
      </w:r>
    </w:p>
    <w:p w14:paraId="3A573001" w14:textId="77777777" w:rsidR="00E41ADF" w:rsidRDefault="00630D1D" w:rsidP="00630D1D">
      <w:pPr>
        <w:spacing w:line="480" w:lineRule="auto"/>
        <w:rPr>
          <w:sz w:val="22"/>
          <w:szCs w:val="22"/>
        </w:rPr>
      </w:pPr>
      <w:r w:rsidRPr="00D07074">
        <w:rPr>
          <w:sz w:val="22"/>
          <w:szCs w:val="22"/>
        </w:rPr>
        <w:t>This study was supported</w:t>
      </w:r>
      <w:r>
        <w:rPr>
          <w:sz w:val="22"/>
          <w:szCs w:val="22"/>
        </w:rPr>
        <w:t xml:space="preserve"> </w:t>
      </w:r>
      <w:r w:rsidR="0028388F">
        <w:rPr>
          <w:sz w:val="22"/>
          <w:szCs w:val="22"/>
        </w:rPr>
        <w:t xml:space="preserve">to </w:t>
      </w:r>
      <w:r w:rsidRPr="007E5C00">
        <w:rPr>
          <w:b/>
          <w:sz w:val="22"/>
          <w:szCs w:val="22"/>
        </w:rPr>
        <w:t>JL</w:t>
      </w:r>
      <w:r w:rsidR="004C00D9">
        <w:rPr>
          <w:b/>
          <w:sz w:val="22"/>
          <w:szCs w:val="22"/>
        </w:rPr>
        <w:t xml:space="preserve"> </w:t>
      </w:r>
      <w:r w:rsidR="006708D0">
        <w:rPr>
          <w:sz w:val="22"/>
          <w:szCs w:val="22"/>
        </w:rPr>
        <w:t xml:space="preserve">and </w:t>
      </w:r>
      <w:r w:rsidR="00C62651" w:rsidRPr="007264CA">
        <w:rPr>
          <w:b/>
          <w:bCs/>
          <w:sz w:val="22"/>
          <w:szCs w:val="22"/>
        </w:rPr>
        <w:t>YP</w:t>
      </w:r>
      <w:r w:rsidR="00C62651">
        <w:rPr>
          <w:sz w:val="22"/>
          <w:szCs w:val="22"/>
        </w:rPr>
        <w:t xml:space="preserve"> </w:t>
      </w:r>
      <w:r w:rsidR="0028388F">
        <w:rPr>
          <w:sz w:val="22"/>
          <w:szCs w:val="22"/>
        </w:rPr>
        <w:t>by</w:t>
      </w:r>
      <w:r w:rsidRPr="00D07074">
        <w:rPr>
          <w:sz w:val="22"/>
          <w:szCs w:val="22"/>
        </w:rPr>
        <w:t xml:space="preserve"> </w:t>
      </w:r>
      <w:r>
        <w:rPr>
          <w:rFonts w:hint="eastAsia"/>
          <w:sz w:val="22"/>
          <w:szCs w:val="22"/>
        </w:rPr>
        <w:t>the</w:t>
      </w:r>
      <w:r>
        <w:rPr>
          <w:sz w:val="22"/>
          <w:szCs w:val="22"/>
        </w:rPr>
        <w:t xml:space="preserve"> National Health </w:t>
      </w:r>
      <w:r w:rsidR="00940866">
        <w:rPr>
          <w:rFonts w:hint="eastAsia"/>
          <w:sz w:val="22"/>
          <w:szCs w:val="22"/>
        </w:rPr>
        <w:t>Commission</w:t>
      </w:r>
      <w:r w:rsidR="00940866">
        <w:rPr>
          <w:sz w:val="22"/>
          <w:szCs w:val="22"/>
        </w:rPr>
        <w:t xml:space="preserve"> of China</w:t>
      </w:r>
      <w:r>
        <w:rPr>
          <w:sz w:val="22"/>
          <w:szCs w:val="22"/>
        </w:rPr>
        <w:t xml:space="preserve">-Bill &amp; Melinda Gates Foundation </w:t>
      </w:r>
      <w:r w:rsidR="00FC589E">
        <w:rPr>
          <w:sz w:val="22"/>
          <w:szCs w:val="22"/>
        </w:rPr>
        <w:t xml:space="preserve">TB Project </w:t>
      </w:r>
      <w:r>
        <w:rPr>
          <w:sz w:val="22"/>
          <w:szCs w:val="22"/>
        </w:rPr>
        <w:t>(</w:t>
      </w:r>
      <w:r w:rsidR="00FC589E">
        <w:rPr>
          <w:sz w:val="22"/>
          <w:szCs w:val="22"/>
        </w:rPr>
        <w:t>OPP113</w:t>
      </w:r>
      <w:r w:rsidR="004031D2">
        <w:rPr>
          <w:sz w:val="22"/>
          <w:szCs w:val="22"/>
        </w:rPr>
        <w:t>7180</w:t>
      </w:r>
      <w:r>
        <w:rPr>
          <w:sz w:val="22"/>
          <w:szCs w:val="22"/>
        </w:rPr>
        <w:t xml:space="preserve">) and </w:t>
      </w:r>
      <w:r>
        <w:rPr>
          <w:rFonts w:hint="eastAsia"/>
          <w:sz w:val="22"/>
          <w:szCs w:val="22"/>
        </w:rPr>
        <w:t>the</w:t>
      </w:r>
      <w:r>
        <w:rPr>
          <w:sz w:val="22"/>
          <w:szCs w:val="22"/>
        </w:rPr>
        <w:t xml:space="preserve"> </w:t>
      </w:r>
      <w:r>
        <w:rPr>
          <w:rFonts w:hint="eastAsia"/>
          <w:sz w:val="22"/>
          <w:szCs w:val="22"/>
        </w:rPr>
        <w:t>Na</w:t>
      </w:r>
      <w:r>
        <w:rPr>
          <w:sz w:val="22"/>
          <w:szCs w:val="22"/>
        </w:rPr>
        <w:t>tural Science Foundation of Ningxia (</w:t>
      </w:r>
      <w:r w:rsidRPr="007C22D9">
        <w:rPr>
          <w:sz w:val="22"/>
          <w:szCs w:val="22"/>
        </w:rPr>
        <w:t>N</w:t>
      </w:r>
      <w:r>
        <w:rPr>
          <w:sz w:val="22"/>
          <w:szCs w:val="22"/>
        </w:rPr>
        <w:t>Z</w:t>
      </w:r>
      <w:r w:rsidRPr="007C22D9">
        <w:rPr>
          <w:sz w:val="22"/>
          <w:szCs w:val="22"/>
        </w:rPr>
        <w:t>17219</w:t>
      </w:r>
      <w:r w:rsidR="00F96B8A">
        <w:rPr>
          <w:sz w:val="22"/>
          <w:szCs w:val="22"/>
        </w:rPr>
        <w:t xml:space="preserve">), </w:t>
      </w:r>
      <w:r w:rsidR="0028388F">
        <w:rPr>
          <w:sz w:val="22"/>
          <w:szCs w:val="22"/>
        </w:rPr>
        <w:t>to</w:t>
      </w:r>
      <w:r>
        <w:rPr>
          <w:sz w:val="22"/>
          <w:szCs w:val="22"/>
        </w:rPr>
        <w:t xml:space="preserve"> </w:t>
      </w:r>
      <w:r w:rsidRPr="007E5C00">
        <w:rPr>
          <w:b/>
          <w:sz w:val="22"/>
          <w:szCs w:val="22"/>
        </w:rPr>
        <w:t>YP</w:t>
      </w:r>
      <w:r>
        <w:rPr>
          <w:sz w:val="22"/>
          <w:szCs w:val="22"/>
        </w:rPr>
        <w:t xml:space="preserve"> </w:t>
      </w:r>
      <w:r w:rsidR="0028388F">
        <w:rPr>
          <w:sz w:val="22"/>
          <w:szCs w:val="22"/>
        </w:rPr>
        <w:t xml:space="preserve">by </w:t>
      </w:r>
      <w:r w:rsidRPr="00D07074">
        <w:rPr>
          <w:sz w:val="22"/>
          <w:szCs w:val="22"/>
        </w:rPr>
        <w:t>the Zhejiang Provincial Medical and Health Project (</w:t>
      </w:r>
      <w:r w:rsidRPr="00D07074">
        <w:rPr>
          <w:rFonts w:eastAsia="SimSun"/>
          <w:sz w:val="22"/>
          <w:szCs w:val="22"/>
        </w:rPr>
        <w:t>2019RC135</w:t>
      </w:r>
      <w:r w:rsidRPr="00D07074">
        <w:rPr>
          <w:sz w:val="22"/>
          <w:szCs w:val="22"/>
        </w:rPr>
        <w:t>)</w:t>
      </w:r>
      <w:r>
        <w:rPr>
          <w:sz w:val="22"/>
          <w:szCs w:val="22"/>
        </w:rPr>
        <w:t xml:space="preserve"> and </w:t>
      </w:r>
      <w:r w:rsidRPr="00D07074">
        <w:rPr>
          <w:sz w:val="22"/>
          <w:szCs w:val="22"/>
        </w:rPr>
        <w:t>the State Key Laboratory of Health Technology Assessment, Fudan University (FHTA2019-05</w:t>
      </w:r>
      <w:r>
        <w:rPr>
          <w:sz w:val="22"/>
          <w:szCs w:val="22"/>
        </w:rPr>
        <w:t xml:space="preserve">), </w:t>
      </w:r>
      <w:r w:rsidR="0028388F">
        <w:rPr>
          <w:sz w:val="22"/>
          <w:szCs w:val="22"/>
        </w:rPr>
        <w:t>to</w:t>
      </w:r>
      <w:r>
        <w:rPr>
          <w:sz w:val="22"/>
          <w:szCs w:val="22"/>
        </w:rPr>
        <w:t xml:space="preserve"> </w:t>
      </w:r>
      <w:r w:rsidRPr="007E5C00">
        <w:rPr>
          <w:b/>
          <w:sz w:val="22"/>
          <w:szCs w:val="22"/>
        </w:rPr>
        <w:t>BC</w:t>
      </w:r>
      <w:r>
        <w:rPr>
          <w:sz w:val="22"/>
          <w:szCs w:val="22"/>
        </w:rPr>
        <w:t xml:space="preserve"> </w:t>
      </w:r>
      <w:r w:rsidR="0028388F">
        <w:rPr>
          <w:sz w:val="22"/>
          <w:szCs w:val="22"/>
        </w:rPr>
        <w:t>by</w:t>
      </w:r>
      <w:r>
        <w:rPr>
          <w:sz w:val="22"/>
          <w:szCs w:val="22"/>
        </w:rPr>
        <w:t xml:space="preserve"> the National Nature Science Foundation of China (71640019)</w:t>
      </w:r>
      <w:r w:rsidR="00227E45">
        <w:rPr>
          <w:sz w:val="22"/>
          <w:szCs w:val="22"/>
        </w:rPr>
        <w:t xml:space="preserve">, and to </w:t>
      </w:r>
      <w:r w:rsidR="00227E45" w:rsidRPr="007264CA">
        <w:rPr>
          <w:b/>
          <w:bCs/>
          <w:sz w:val="22"/>
          <w:szCs w:val="22"/>
        </w:rPr>
        <w:t>ML</w:t>
      </w:r>
      <w:r w:rsidR="000B25F2">
        <w:rPr>
          <w:sz w:val="22"/>
          <w:szCs w:val="22"/>
        </w:rPr>
        <w:t xml:space="preserve"> by </w:t>
      </w:r>
      <w:r w:rsidR="000B25F2" w:rsidRPr="000B25F2">
        <w:rPr>
          <w:sz w:val="22"/>
          <w:szCs w:val="22"/>
        </w:rPr>
        <w:t>the Pearl River Talent Recruitment Program of Guangdong Province (2017GC010634)</w:t>
      </w:r>
      <w:r>
        <w:rPr>
          <w:sz w:val="22"/>
          <w:szCs w:val="22"/>
        </w:rPr>
        <w:t xml:space="preserve">. </w:t>
      </w:r>
    </w:p>
    <w:p w14:paraId="169A9F98" w14:textId="77777777" w:rsidR="00AF68B5" w:rsidRDefault="00AF68B5" w:rsidP="00630D1D">
      <w:pPr>
        <w:spacing w:line="480" w:lineRule="auto"/>
        <w:rPr>
          <w:b/>
          <w:bCs/>
          <w:sz w:val="22"/>
          <w:szCs w:val="22"/>
        </w:rPr>
      </w:pPr>
    </w:p>
    <w:p w14:paraId="5B8C1762" w14:textId="74D7D1DA" w:rsidR="00E41ADF" w:rsidRPr="00AF68B5" w:rsidRDefault="00E41ADF" w:rsidP="00630D1D">
      <w:pPr>
        <w:spacing w:line="480" w:lineRule="auto"/>
        <w:rPr>
          <w:b/>
          <w:bCs/>
          <w:sz w:val="22"/>
          <w:szCs w:val="22"/>
        </w:rPr>
      </w:pPr>
      <w:r w:rsidRPr="00AF68B5">
        <w:rPr>
          <w:rFonts w:hint="eastAsia"/>
          <w:b/>
          <w:bCs/>
          <w:sz w:val="22"/>
          <w:szCs w:val="22"/>
        </w:rPr>
        <w:t>D</w:t>
      </w:r>
      <w:r w:rsidR="00AF68B5" w:rsidRPr="00AF68B5">
        <w:rPr>
          <w:rFonts w:hint="eastAsia"/>
          <w:b/>
          <w:bCs/>
          <w:sz w:val="22"/>
          <w:szCs w:val="22"/>
        </w:rPr>
        <w:t>iscl</w:t>
      </w:r>
      <w:r w:rsidR="00AF68B5" w:rsidRPr="00AF68B5">
        <w:rPr>
          <w:b/>
          <w:bCs/>
          <w:sz w:val="22"/>
          <w:szCs w:val="22"/>
        </w:rPr>
        <w:t>aimer</w:t>
      </w:r>
    </w:p>
    <w:p w14:paraId="00A33224" w14:textId="001FB5BF" w:rsidR="00630D1D" w:rsidRDefault="00630D1D" w:rsidP="00630D1D">
      <w:pPr>
        <w:spacing w:line="480" w:lineRule="auto"/>
        <w:rPr>
          <w:sz w:val="22"/>
          <w:szCs w:val="22"/>
        </w:rPr>
      </w:pPr>
      <w:r w:rsidRPr="00D07074">
        <w:rPr>
          <w:sz w:val="22"/>
          <w:szCs w:val="22"/>
        </w:rPr>
        <w:t>The funders had no roles in the study design, data collection and analysis, decision on publish, and preparation for the manuscript.</w:t>
      </w:r>
    </w:p>
    <w:p w14:paraId="3EB27DF4" w14:textId="580A3161" w:rsidR="00630D1D" w:rsidRDefault="00630D1D" w:rsidP="00630D1D">
      <w:pPr>
        <w:spacing w:line="480" w:lineRule="auto"/>
        <w:rPr>
          <w:sz w:val="22"/>
          <w:szCs w:val="22"/>
        </w:rPr>
      </w:pPr>
    </w:p>
    <w:p w14:paraId="486525AB" w14:textId="77777777" w:rsidR="00C76232" w:rsidRDefault="00630D1D" w:rsidP="00630D1D">
      <w:pPr>
        <w:spacing w:line="480" w:lineRule="auto"/>
        <w:rPr>
          <w:b/>
          <w:sz w:val="22"/>
          <w:szCs w:val="22"/>
        </w:rPr>
      </w:pPr>
      <w:r w:rsidRPr="00630D1D">
        <w:rPr>
          <w:b/>
          <w:sz w:val="22"/>
          <w:szCs w:val="22"/>
        </w:rPr>
        <w:t>Running title</w:t>
      </w:r>
    </w:p>
    <w:p w14:paraId="0D5F6126" w14:textId="64F22BB5" w:rsidR="00630D1D" w:rsidRPr="00C76232" w:rsidRDefault="00C76232" w:rsidP="00630D1D">
      <w:pPr>
        <w:spacing w:line="480" w:lineRule="auto"/>
        <w:rPr>
          <w:b/>
          <w:sz w:val="22"/>
          <w:szCs w:val="22"/>
        </w:rPr>
      </w:pPr>
      <w:r>
        <w:rPr>
          <w:sz w:val="22"/>
          <w:szCs w:val="22"/>
        </w:rPr>
        <w:t>PM</w:t>
      </w:r>
      <w:r w:rsidRPr="00C76232">
        <w:rPr>
          <w:sz w:val="22"/>
          <w:szCs w:val="22"/>
          <w:vertAlign w:val="subscript"/>
        </w:rPr>
        <w:t>2.5</w:t>
      </w:r>
      <w:r w:rsidR="00630D1D">
        <w:rPr>
          <w:sz w:val="22"/>
          <w:szCs w:val="22"/>
        </w:rPr>
        <w:t xml:space="preserve">, greenness, </w:t>
      </w:r>
      <w:r>
        <w:rPr>
          <w:sz w:val="22"/>
          <w:szCs w:val="22"/>
        </w:rPr>
        <w:t>and mortality in MDR-TB patients.</w:t>
      </w:r>
    </w:p>
    <w:p w14:paraId="651ADBF5" w14:textId="77777777" w:rsidR="007C4830" w:rsidRDefault="007C4830" w:rsidP="007C4830">
      <w:pPr>
        <w:spacing w:line="480" w:lineRule="auto"/>
        <w:rPr>
          <w:b/>
          <w:sz w:val="22"/>
          <w:szCs w:val="22"/>
        </w:rPr>
      </w:pPr>
    </w:p>
    <w:p w14:paraId="5275454E" w14:textId="77777777" w:rsidR="007C4830" w:rsidRPr="00105D3A" w:rsidRDefault="007C4830" w:rsidP="007C4830">
      <w:pPr>
        <w:spacing w:line="480" w:lineRule="auto"/>
        <w:rPr>
          <w:b/>
          <w:sz w:val="22"/>
          <w:szCs w:val="22"/>
        </w:rPr>
      </w:pPr>
      <w:r w:rsidRPr="00105D3A">
        <w:rPr>
          <w:b/>
          <w:sz w:val="22"/>
          <w:szCs w:val="22"/>
        </w:rPr>
        <w:t>Conflict of interest statement</w:t>
      </w:r>
    </w:p>
    <w:p w14:paraId="436F4054" w14:textId="77F0B279" w:rsidR="007C4830" w:rsidRDefault="007C4830" w:rsidP="007C4830">
      <w:pPr>
        <w:rPr>
          <w:b/>
          <w:sz w:val="22"/>
          <w:szCs w:val="22"/>
        </w:rPr>
      </w:pPr>
      <w:r>
        <w:rPr>
          <w:sz w:val="22"/>
          <w:szCs w:val="22"/>
        </w:rPr>
        <w:t xml:space="preserve">None declared. </w:t>
      </w:r>
      <w:r>
        <w:rPr>
          <w:b/>
          <w:sz w:val="22"/>
          <w:szCs w:val="22"/>
        </w:rPr>
        <w:br w:type="page"/>
      </w:r>
    </w:p>
    <w:p w14:paraId="538BC93C" w14:textId="59550264" w:rsidR="0030138B" w:rsidRDefault="0030138B" w:rsidP="00630D1D">
      <w:pPr>
        <w:spacing w:line="480" w:lineRule="auto"/>
        <w:rPr>
          <w:b/>
          <w:sz w:val="22"/>
          <w:szCs w:val="22"/>
        </w:rPr>
      </w:pPr>
      <w:r>
        <w:rPr>
          <w:b/>
          <w:sz w:val="22"/>
          <w:szCs w:val="22"/>
        </w:rPr>
        <w:lastRenderedPageBreak/>
        <w:t>What is the key question?</w:t>
      </w:r>
    </w:p>
    <w:p w14:paraId="0ACC572B" w14:textId="7EB7197D" w:rsidR="0030138B" w:rsidRDefault="0030138B" w:rsidP="00630D1D">
      <w:pPr>
        <w:spacing w:line="480" w:lineRule="auto"/>
        <w:rPr>
          <w:b/>
          <w:sz w:val="22"/>
          <w:szCs w:val="22"/>
        </w:rPr>
      </w:pPr>
      <w:r>
        <w:rPr>
          <w:iCs/>
          <w:sz w:val="22"/>
          <w:szCs w:val="22"/>
        </w:rPr>
        <w:t xml:space="preserve">How greenness protects air pollution-related mortality among patients with </w:t>
      </w:r>
      <w:r>
        <w:rPr>
          <w:sz w:val="22"/>
          <w:szCs w:val="22"/>
        </w:rPr>
        <w:t>multidrug resistant tuberculosis (MDR-TB) is completely unknown.</w:t>
      </w:r>
    </w:p>
    <w:p w14:paraId="4CC5B571" w14:textId="77777777" w:rsidR="0030138B" w:rsidRDefault="0030138B" w:rsidP="00630D1D">
      <w:pPr>
        <w:spacing w:line="480" w:lineRule="auto"/>
        <w:rPr>
          <w:b/>
          <w:sz w:val="22"/>
          <w:szCs w:val="22"/>
        </w:rPr>
      </w:pPr>
    </w:p>
    <w:p w14:paraId="6844DECA" w14:textId="267C35D2" w:rsidR="0030138B" w:rsidRDefault="0030138B" w:rsidP="00630D1D">
      <w:pPr>
        <w:spacing w:line="480" w:lineRule="auto"/>
        <w:rPr>
          <w:b/>
          <w:sz w:val="22"/>
          <w:szCs w:val="22"/>
        </w:rPr>
      </w:pPr>
      <w:r>
        <w:rPr>
          <w:rFonts w:hint="eastAsia"/>
          <w:b/>
          <w:sz w:val="22"/>
          <w:szCs w:val="22"/>
        </w:rPr>
        <w:t>What</w:t>
      </w:r>
      <w:r>
        <w:rPr>
          <w:b/>
          <w:sz w:val="22"/>
          <w:szCs w:val="22"/>
        </w:rPr>
        <w:t xml:space="preserve"> is the bottom line?</w:t>
      </w:r>
    </w:p>
    <w:p w14:paraId="622658E2" w14:textId="644EA9CC" w:rsidR="0030138B" w:rsidRDefault="00764F3F" w:rsidP="00630D1D">
      <w:pPr>
        <w:spacing w:line="480" w:lineRule="auto"/>
        <w:rPr>
          <w:iCs/>
          <w:sz w:val="22"/>
          <w:szCs w:val="22"/>
        </w:rPr>
      </w:pPr>
      <w:r>
        <w:rPr>
          <w:sz w:val="22"/>
          <w:szCs w:val="22"/>
        </w:rPr>
        <w:t>Recent experimental and clinical studies suggest that inhalation exposure to PM</w:t>
      </w:r>
      <w:r w:rsidRPr="007C4830">
        <w:rPr>
          <w:sz w:val="22"/>
          <w:szCs w:val="22"/>
          <w:vertAlign w:val="subscript"/>
        </w:rPr>
        <w:t xml:space="preserve">2.5 </w:t>
      </w:r>
      <w:r>
        <w:rPr>
          <w:sz w:val="22"/>
          <w:szCs w:val="22"/>
        </w:rPr>
        <w:t xml:space="preserve">impairs important components of the protective human lung and results in suppressing systemic immune response against </w:t>
      </w:r>
      <w:r w:rsidRPr="00DC63F9">
        <w:rPr>
          <w:i/>
          <w:iCs/>
          <w:sz w:val="22"/>
          <w:szCs w:val="22"/>
        </w:rPr>
        <w:t>M. tuberculosis</w:t>
      </w:r>
      <w:r>
        <w:rPr>
          <w:iCs/>
          <w:sz w:val="22"/>
          <w:szCs w:val="22"/>
        </w:rPr>
        <w:t xml:space="preserve">, whereas </w:t>
      </w:r>
      <w:r w:rsidR="007C4830">
        <w:rPr>
          <w:iCs/>
          <w:sz w:val="22"/>
          <w:szCs w:val="22"/>
        </w:rPr>
        <w:t xml:space="preserve">this impact of air pollution may be overstated </w:t>
      </w:r>
      <w:r w:rsidR="0030138B">
        <w:rPr>
          <w:iCs/>
          <w:sz w:val="22"/>
          <w:szCs w:val="22"/>
        </w:rPr>
        <w:t xml:space="preserve">if greenness was not </w:t>
      </w:r>
      <w:r w:rsidR="00D860D6">
        <w:rPr>
          <w:iCs/>
          <w:sz w:val="22"/>
          <w:szCs w:val="22"/>
        </w:rPr>
        <w:t>considered</w:t>
      </w:r>
      <w:r w:rsidR="00B95DA8">
        <w:rPr>
          <w:iCs/>
          <w:sz w:val="22"/>
          <w:szCs w:val="22"/>
        </w:rPr>
        <w:t xml:space="preserve">. </w:t>
      </w:r>
    </w:p>
    <w:p w14:paraId="50DA7CD6" w14:textId="4CB85FBE" w:rsidR="00764F3F" w:rsidRDefault="007C4830" w:rsidP="00630D1D">
      <w:pPr>
        <w:spacing w:line="480" w:lineRule="auto"/>
        <w:rPr>
          <w:sz w:val="22"/>
          <w:szCs w:val="22"/>
        </w:rPr>
      </w:pPr>
      <w:r>
        <w:rPr>
          <w:sz w:val="22"/>
          <w:szCs w:val="22"/>
        </w:rPr>
        <w:t xml:space="preserve">  </w:t>
      </w:r>
    </w:p>
    <w:p w14:paraId="57D096A4" w14:textId="09B6B85B" w:rsidR="002177EF" w:rsidRDefault="002177EF" w:rsidP="00630D1D">
      <w:pPr>
        <w:spacing w:line="480" w:lineRule="auto"/>
        <w:rPr>
          <w:b/>
          <w:sz w:val="22"/>
          <w:szCs w:val="22"/>
        </w:rPr>
      </w:pPr>
      <w:r>
        <w:rPr>
          <w:b/>
          <w:sz w:val="22"/>
          <w:szCs w:val="22"/>
        </w:rPr>
        <w:t xml:space="preserve">What </w:t>
      </w:r>
      <w:r w:rsidR="0009342E">
        <w:rPr>
          <w:b/>
          <w:sz w:val="22"/>
          <w:szCs w:val="22"/>
        </w:rPr>
        <w:t>t</w:t>
      </w:r>
      <w:r>
        <w:rPr>
          <w:b/>
          <w:sz w:val="22"/>
          <w:szCs w:val="22"/>
        </w:rPr>
        <w:t xml:space="preserve">his </w:t>
      </w:r>
      <w:r w:rsidR="0009342E">
        <w:rPr>
          <w:b/>
          <w:sz w:val="22"/>
          <w:szCs w:val="22"/>
        </w:rPr>
        <w:t>s</w:t>
      </w:r>
      <w:r>
        <w:rPr>
          <w:b/>
          <w:sz w:val="22"/>
          <w:szCs w:val="22"/>
        </w:rPr>
        <w:t xml:space="preserve">tudy </w:t>
      </w:r>
      <w:r w:rsidR="0009342E">
        <w:rPr>
          <w:b/>
          <w:sz w:val="22"/>
          <w:szCs w:val="22"/>
        </w:rPr>
        <w:t>a</w:t>
      </w:r>
      <w:r>
        <w:rPr>
          <w:b/>
          <w:sz w:val="22"/>
          <w:szCs w:val="22"/>
        </w:rPr>
        <w:t xml:space="preserve">dds to the </w:t>
      </w:r>
      <w:r w:rsidR="0009342E">
        <w:rPr>
          <w:b/>
          <w:sz w:val="22"/>
          <w:szCs w:val="22"/>
        </w:rPr>
        <w:t>f</w:t>
      </w:r>
      <w:r>
        <w:rPr>
          <w:b/>
          <w:sz w:val="22"/>
          <w:szCs w:val="22"/>
        </w:rPr>
        <w:t>ield</w:t>
      </w:r>
    </w:p>
    <w:p w14:paraId="13DA6A52" w14:textId="490048EA" w:rsidR="0047187E" w:rsidRPr="007C4830" w:rsidRDefault="007C4830" w:rsidP="00630D1D">
      <w:pPr>
        <w:spacing w:line="480" w:lineRule="auto"/>
        <w:rPr>
          <w:sz w:val="22"/>
          <w:szCs w:val="22"/>
        </w:rPr>
      </w:pPr>
      <w:r>
        <w:rPr>
          <w:rFonts w:hint="eastAsia"/>
          <w:sz w:val="22"/>
          <w:szCs w:val="22"/>
        </w:rPr>
        <w:t>Con</w:t>
      </w:r>
      <w:r>
        <w:rPr>
          <w:sz w:val="22"/>
          <w:szCs w:val="22"/>
        </w:rPr>
        <w:t>sistent with the experimental evidence of oxidative stress and inflammatory effects of PM</w:t>
      </w:r>
      <w:r w:rsidRPr="007C4830">
        <w:rPr>
          <w:sz w:val="22"/>
          <w:szCs w:val="22"/>
          <w:vertAlign w:val="subscript"/>
        </w:rPr>
        <w:t>2.5</w:t>
      </w:r>
      <w:r>
        <w:rPr>
          <w:sz w:val="22"/>
          <w:szCs w:val="22"/>
        </w:rPr>
        <w:t>, our study, the largest MDR-TB cohort, shows that exposure to ambient PM</w:t>
      </w:r>
      <w:r w:rsidRPr="00B95DA8">
        <w:rPr>
          <w:sz w:val="22"/>
          <w:szCs w:val="22"/>
          <w:vertAlign w:val="subscript"/>
        </w:rPr>
        <w:t xml:space="preserve">2.5 </w:t>
      </w:r>
      <w:r>
        <w:rPr>
          <w:sz w:val="22"/>
          <w:szCs w:val="22"/>
        </w:rPr>
        <w:t xml:space="preserve">was significantly associated with risks of mortality among </w:t>
      </w:r>
      <w:r w:rsidR="007B6094">
        <w:rPr>
          <w:sz w:val="22"/>
          <w:szCs w:val="22"/>
        </w:rPr>
        <w:t>patients with MDR-TB, and highlighted that greenness could benefit patient survival by attenuating the impact of PM</w:t>
      </w:r>
      <w:r w:rsidR="007B6094" w:rsidRPr="007B6094">
        <w:rPr>
          <w:sz w:val="22"/>
          <w:szCs w:val="22"/>
          <w:vertAlign w:val="subscript"/>
        </w:rPr>
        <w:t>2.5</w:t>
      </w:r>
      <w:r w:rsidR="007B6094">
        <w:rPr>
          <w:sz w:val="22"/>
          <w:szCs w:val="22"/>
        </w:rPr>
        <w:t xml:space="preserve">. </w:t>
      </w:r>
    </w:p>
    <w:p w14:paraId="0ADBD37B" w14:textId="312AC770" w:rsidR="004227F1" w:rsidRDefault="004227F1" w:rsidP="00630D1D">
      <w:pPr>
        <w:rPr>
          <w:sz w:val="22"/>
          <w:szCs w:val="22"/>
        </w:rPr>
      </w:pPr>
      <w:r>
        <w:rPr>
          <w:sz w:val="22"/>
          <w:szCs w:val="22"/>
        </w:rPr>
        <w:br w:type="page"/>
      </w:r>
    </w:p>
    <w:p w14:paraId="51722B37" w14:textId="4E0E2133" w:rsidR="001B2527" w:rsidRPr="00410367" w:rsidRDefault="00410367" w:rsidP="007719C5">
      <w:pPr>
        <w:spacing w:line="480" w:lineRule="auto"/>
        <w:rPr>
          <w:b/>
          <w:bCs/>
          <w:sz w:val="22"/>
          <w:szCs w:val="22"/>
        </w:rPr>
      </w:pPr>
      <w:r w:rsidRPr="00410367">
        <w:rPr>
          <w:b/>
          <w:bCs/>
          <w:sz w:val="22"/>
          <w:szCs w:val="22"/>
        </w:rPr>
        <w:lastRenderedPageBreak/>
        <w:t>Abstract</w:t>
      </w:r>
    </w:p>
    <w:p w14:paraId="7D551C01" w14:textId="316197F2" w:rsidR="00716CB1" w:rsidRDefault="0029064A" w:rsidP="007719C5">
      <w:pPr>
        <w:spacing w:line="480" w:lineRule="auto"/>
        <w:rPr>
          <w:sz w:val="22"/>
          <w:szCs w:val="22"/>
        </w:rPr>
      </w:pPr>
      <w:r w:rsidRPr="00053BA0">
        <w:rPr>
          <w:b/>
          <w:sz w:val="22"/>
          <w:szCs w:val="22"/>
        </w:rPr>
        <w:t>Rationale:</w:t>
      </w:r>
      <w:r w:rsidR="00716CB1">
        <w:rPr>
          <w:sz w:val="22"/>
          <w:szCs w:val="22"/>
        </w:rPr>
        <w:t xml:space="preserve"> Evidence for the association between fine particulate matter (PM</w:t>
      </w:r>
      <w:r w:rsidR="00716CB1" w:rsidRPr="00482D9C">
        <w:rPr>
          <w:sz w:val="22"/>
          <w:szCs w:val="22"/>
          <w:vertAlign w:val="subscript"/>
        </w:rPr>
        <w:t>2.5</w:t>
      </w:r>
      <w:r w:rsidR="00716CB1">
        <w:rPr>
          <w:sz w:val="22"/>
          <w:szCs w:val="22"/>
        </w:rPr>
        <w:t xml:space="preserve">) and mortality among tuberculosis </w:t>
      </w:r>
      <w:r w:rsidR="00053BA0">
        <w:rPr>
          <w:sz w:val="22"/>
          <w:szCs w:val="22"/>
        </w:rPr>
        <w:t xml:space="preserve">(TB) </w:t>
      </w:r>
      <w:r w:rsidR="00716CB1">
        <w:rPr>
          <w:sz w:val="22"/>
          <w:szCs w:val="22"/>
        </w:rPr>
        <w:t xml:space="preserve">patients is </w:t>
      </w:r>
      <w:r w:rsidR="00053BA0">
        <w:rPr>
          <w:sz w:val="22"/>
          <w:szCs w:val="22"/>
        </w:rPr>
        <w:t>limited</w:t>
      </w:r>
      <w:r w:rsidR="00716CB1">
        <w:rPr>
          <w:sz w:val="22"/>
          <w:szCs w:val="22"/>
        </w:rPr>
        <w:t xml:space="preserve">. </w:t>
      </w:r>
      <w:r w:rsidR="005B562C">
        <w:rPr>
          <w:rFonts w:hint="eastAsia"/>
          <w:sz w:val="22"/>
          <w:szCs w:val="22"/>
        </w:rPr>
        <w:t>W</w:t>
      </w:r>
      <w:r w:rsidR="00053BA0">
        <w:rPr>
          <w:sz w:val="22"/>
          <w:szCs w:val="22"/>
        </w:rPr>
        <w:t>hether greenness protects air pollution-related mortality among patients with multidrug</w:t>
      </w:r>
      <w:r w:rsidR="00DE6729">
        <w:rPr>
          <w:sz w:val="22"/>
          <w:szCs w:val="22"/>
        </w:rPr>
        <w:t>-</w:t>
      </w:r>
      <w:r w:rsidR="00053BA0">
        <w:rPr>
          <w:sz w:val="22"/>
          <w:szCs w:val="22"/>
        </w:rPr>
        <w:t xml:space="preserve">resistant tuberculosis (MDR-TB) is completely unknown.  </w:t>
      </w:r>
    </w:p>
    <w:p w14:paraId="1C75334A" w14:textId="6F9E5905" w:rsidR="0029064A" w:rsidRPr="000078B1" w:rsidRDefault="0029064A" w:rsidP="007719C5">
      <w:pPr>
        <w:spacing w:line="480" w:lineRule="auto"/>
        <w:rPr>
          <w:bCs/>
          <w:sz w:val="22"/>
          <w:szCs w:val="22"/>
        </w:rPr>
      </w:pPr>
      <w:r w:rsidRPr="00053BA0">
        <w:rPr>
          <w:b/>
          <w:sz w:val="22"/>
          <w:szCs w:val="22"/>
        </w:rPr>
        <w:t>Methods:</w:t>
      </w:r>
      <w:r w:rsidR="00053BA0" w:rsidRPr="00053BA0">
        <w:rPr>
          <w:b/>
          <w:sz w:val="22"/>
          <w:szCs w:val="22"/>
        </w:rPr>
        <w:t xml:space="preserve"> </w:t>
      </w:r>
      <w:r w:rsidR="00171DB9">
        <w:rPr>
          <w:sz w:val="22"/>
          <w:szCs w:val="22"/>
        </w:rPr>
        <w:t xml:space="preserve">2,305 </w:t>
      </w:r>
      <w:r w:rsidR="00841B31">
        <w:rPr>
          <w:sz w:val="22"/>
          <w:szCs w:val="22"/>
        </w:rPr>
        <w:t>patients reported in Zhejiang and Ningxia were followed from MDR-TB diagnosis until death</w:t>
      </w:r>
      <w:r w:rsidR="00D934A4">
        <w:rPr>
          <w:sz w:val="22"/>
          <w:szCs w:val="22"/>
        </w:rPr>
        <w:t xml:space="preserve">, </w:t>
      </w:r>
      <w:r w:rsidR="00D934A4">
        <w:rPr>
          <w:sz w:val="22"/>
          <w:szCs w:val="22"/>
          <w:lang w:val="en-US"/>
        </w:rPr>
        <w:t xml:space="preserve">loss to follow-up, </w:t>
      </w:r>
      <w:r w:rsidR="00841B31">
        <w:rPr>
          <w:sz w:val="22"/>
          <w:szCs w:val="22"/>
        </w:rPr>
        <w:t>or end of the study (</w:t>
      </w:r>
      <w:r w:rsidR="00D2611E">
        <w:rPr>
          <w:sz w:val="22"/>
          <w:szCs w:val="22"/>
        </w:rPr>
        <w:t>31</w:t>
      </w:r>
      <w:r w:rsidR="00D2611E">
        <w:rPr>
          <w:sz w:val="22"/>
          <w:szCs w:val="22"/>
        </w:rPr>
        <w:t xml:space="preserve"> </w:t>
      </w:r>
      <w:r w:rsidR="006F5538">
        <w:rPr>
          <w:sz w:val="22"/>
          <w:szCs w:val="22"/>
        </w:rPr>
        <w:t>December</w:t>
      </w:r>
      <w:r w:rsidR="00841B31">
        <w:rPr>
          <w:sz w:val="22"/>
          <w:szCs w:val="22"/>
        </w:rPr>
        <w:t xml:space="preserve"> 2019), with </w:t>
      </w:r>
      <w:r w:rsidR="00841B31">
        <w:rPr>
          <w:bCs/>
          <w:sz w:val="22"/>
          <w:szCs w:val="22"/>
        </w:rPr>
        <w:t xml:space="preserve">an average follow-up of 1,724 days per patient. </w:t>
      </w:r>
      <w:r w:rsidR="0004663B">
        <w:rPr>
          <w:bCs/>
          <w:sz w:val="22"/>
          <w:szCs w:val="22"/>
        </w:rPr>
        <w:t xml:space="preserve">16-day averages of contemporaneous </w:t>
      </w:r>
      <w:r w:rsidR="006F5538">
        <w:rPr>
          <w:bCs/>
          <w:sz w:val="22"/>
          <w:szCs w:val="22"/>
        </w:rPr>
        <w:t>N</w:t>
      </w:r>
      <w:r w:rsidR="0004663B">
        <w:rPr>
          <w:bCs/>
          <w:sz w:val="22"/>
          <w:szCs w:val="22"/>
        </w:rPr>
        <w:t xml:space="preserve">ormalized </w:t>
      </w:r>
      <w:r w:rsidR="006F5538">
        <w:rPr>
          <w:bCs/>
          <w:sz w:val="22"/>
          <w:szCs w:val="22"/>
        </w:rPr>
        <w:t>D</w:t>
      </w:r>
      <w:r w:rsidR="0004663B">
        <w:rPr>
          <w:bCs/>
          <w:sz w:val="22"/>
          <w:szCs w:val="22"/>
        </w:rPr>
        <w:t xml:space="preserve">ifference </w:t>
      </w:r>
      <w:r w:rsidR="006F5538">
        <w:rPr>
          <w:bCs/>
          <w:sz w:val="22"/>
          <w:szCs w:val="22"/>
        </w:rPr>
        <w:t>V</w:t>
      </w:r>
      <w:r w:rsidR="00AC6A9F">
        <w:rPr>
          <w:bCs/>
          <w:sz w:val="22"/>
          <w:szCs w:val="22"/>
        </w:rPr>
        <w:t>e</w:t>
      </w:r>
      <w:r w:rsidR="0004663B">
        <w:rPr>
          <w:bCs/>
          <w:sz w:val="22"/>
          <w:szCs w:val="22"/>
        </w:rPr>
        <w:t xml:space="preserve">getation </w:t>
      </w:r>
      <w:r w:rsidR="006F5538">
        <w:rPr>
          <w:bCs/>
          <w:sz w:val="22"/>
          <w:szCs w:val="22"/>
        </w:rPr>
        <w:t>I</w:t>
      </w:r>
      <w:r w:rsidR="0004663B">
        <w:rPr>
          <w:bCs/>
          <w:sz w:val="22"/>
          <w:szCs w:val="22"/>
        </w:rPr>
        <w:t>ndex (NDVI) in the 500</w:t>
      </w:r>
      <w:r w:rsidR="00AC6A9F">
        <w:rPr>
          <w:bCs/>
          <w:sz w:val="22"/>
          <w:szCs w:val="22"/>
        </w:rPr>
        <w:t xml:space="preserve"> </w:t>
      </w:r>
      <w:r w:rsidR="0004663B">
        <w:rPr>
          <w:bCs/>
          <w:sz w:val="22"/>
          <w:szCs w:val="22"/>
        </w:rPr>
        <w:t>m buffer of patient’s residence, annual average PM</w:t>
      </w:r>
      <w:r w:rsidR="0004663B" w:rsidRPr="0004663B">
        <w:rPr>
          <w:bCs/>
          <w:sz w:val="22"/>
          <w:szCs w:val="22"/>
          <w:vertAlign w:val="subscript"/>
        </w:rPr>
        <w:t>2.5</w:t>
      </w:r>
      <w:r w:rsidR="0004663B">
        <w:rPr>
          <w:bCs/>
          <w:sz w:val="22"/>
          <w:szCs w:val="22"/>
        </w:rPr>
        <w:t>, and estimated oxidant capacity O</w:t>
      </w:r>
      <w:r w:rsidR="0004663B" w:rsidRPr="0004663B">
        <w:rPr>
          <w:bCs/>
          <w:sz w:val="22"/>
          <w:szCs w:val="22"/>
          <w:vertAlign w:val="subscript"/>
        </w:rPr>
        <w:t>x</w:t>
      </w:r>
      <w:r w:rsidR="0004663B">
        <w:rPr>
          <w:bCs/>
          <w:sz w:val="22"/>
          <w:szCs w:val="22"/>
        </w:rPr>
        <w:t xml:space="preserve"> were assigned to patients </w:t>
      </w:r>
      <w:r w:rsidR="005572A5">
        <w:rPr>
          <w:bCs/>
          <w:sz w:val="22"/>
          <w:szCs w:val="22"/>
        </w:rPr>
        <w:t>regarding</w:t>
      </w:r>
      <w:r w:rsidR="0004663B">
        <w:rPr>
          <w:rFonts w:hint="eastAsia"/>
          <w:bCs/>
          <w:sz w:val="22"/>
          <w:szCs w:val="22"/>
        </w:rPr>
        <w:t xml:space="preserve"> t</w:t>
      </w:r>
      <w:r w:rsidR="0004663B">
        <w:rPr>
          <w:bCs/>
          <w:sz w:val="22"/>
          <w:szCs w:val="22"/>
        </w:rPr>
        <w:t>heir geocoded home addresses</w:t>
      </w:r>
      <w:r w:rsidR="000078B1">
        <w:rPr>
          <w:bCs/>
          <w:sz w:val="22"/>
          <w:szCs w:val="22"/>
        </w:rPr>
        <w:t xml:space="preserve">. Cox proportional hazards regression models were used to estimate hazard ratios per 10 </w:t>
      </w:r>
      <w:r w:rsidR="000078B1">
        <w:rPr>
          <w:bCs/>
          <w:sz w:val="22"/>
          <w:szCs w:val="22"/>
        </w:rPr>
        <w:sym w:font="Symbol" w:char="F06D"/>
      </w:r>
      <w:r w:rsidR="000078B1">
        <w:rPr>
          <w:bCs/>
          <w:sz w:val="22"/>
          <w:szCs w:val="22"/>
        </w:rPr>
        <w:t>g/m</w:t>
      </w:r>
      <w:r w:rsidR="000078B1" w:rsidRPr="000078B1">
        <w:rPr>
          <w:bCs/>
          <w:sz w:val="22"/>
          <w:szCs w:val="22"/>
          <w:vertAlign w:val="superscript"/>
        </w:rPr>
        <w:t>3</w:t>
      </w:r>
      <w:r w:rsidR="000078B1">
        <w:rPr>
          <w:bCs/>
          <w:sz w:val="22"/>
          <w:szCs w:val="22"/>
        </w:rPr>
        <w:t xml:space="preserve"> exposure to PM</w:t>
      </w:r>
      <w:r w:rsidR="000078B1" w:rsidRPr="008E0049">
        <w:rPr>
          <w:bCs/>
          <w:sz w:val="22"/>
          <w:szCs w:val="22"/>
          <w:vertAlign w:val="subscript"/>
        </w:rPr>
        <w:t xml:space="preserve">2.5 </w:t>
      </w:r>
      <w:r w:rsidR="000078B1">
        <w:rPr>
          <w:bCs/>
          <w:sz w:val="22"/>
          <w:szCs w:val="22"/>
        </w:rPr>
        <w:t xml:space="preserve">and all-cause mortality among the cohort and individuals across the three </w:t>
      </w:r>
      <w:proofErr w:type="spellStart"/>
      <w:r w:rsidR="000078B1">
        <w:rPr>
          <w:bCs/>
          <w:sz w:val="22"/>
          <w:szCs w:val="22"/>
        </w:rPr>
        <w:t>tert</w:t>
      </w:r>
      <w:r w:rsidR="00732AA7">
        <w:rPr>
          <w:bCs/>
          <w:sz w:val="22"/>
          <w:szCs w:val="22"/>
        </w:rPr>
        <w:t>i</w:t>
      </w:r>
      <w:r w:rsidR="000078B1">
        <w:rPr>
          <w:bCs/>
          <w:sz w:val="22"/>
          <w:szCs w:val="22"/>
        </w:rPr>
        <w:t>les</w:t>
      </w:r>
      <w:proofErr w:type="spellEnd"/>
      <w:r w:rsidR="000078B1">
        <w:rPr>
          <w:bCs/>
          <w:sz w:val="22"/>
          <w:szCs w:val="22"/>
        </w:rPr>
        <w:t xml:space="preserve">, adjusting for potential covariates. </w:t>
      </w:r>
    </w:p>
    <w:p w14:paraId="021BEB18" w14:textId="528A3922" w:rsidR="0040100B" w:rsidRDefault="0029064A" w:rsidP="007719C5">
      <w:pPr>
        <w:spacing w:line="480" w:lineRule="auto"/>
        <w:rPr>
          <w:sz w:val="22"/>
          <w:szCs w:val="22"/>
        </w:rPr>
      </w:pPr>
      <w:r w:rsidRPr="00053BA0">
        <w:rPr>
          <w:b/>
          <w:sz w:val="22"/>
          <w:szCs w:val="22"/>
        </w:rPr>
        <w:t>Results:</w:t>
      </w:r>
      <w:r w:rsidR="00A56419">
        <w:rPr>
          <w:b/>
          <w:sz w:val="22"/>
          <w:szCs w:val="22"/>
        </w:rPr>
        <w:t xml:space="preserve"> </w:t>
      </w:r>
      <w:r w:rsidR="00A56419" w:rsidRPr="00A56419">
        <w:rPr>
          <w:sz w:val="22"/>
          <w:szCs w:val="22"/>
        </w:rPr>
        <w:t>H</w:t>
      </w:r>
      <w:r w:rsidR="00A56419">
        <w:rPr>
          <w:sz w:val="22"/>
          <w:szCs w:val="22"/>
        </w:rPr>
        <w:t xml:space="preserve">azard ratios </w:t>
      </w:r>
      <w:r w:rsidR="00C0090B">
        <w:rPr>
          <w:sz w:val="22"/>
          <w:szCs w:val="22"/>
        </w:rPr>
        <w:t xml:space="preserve">(HRs) </w:t>
      </w:r>
      <w:r w:rsidR="00A56419">
        <w:rPr>
          <w:sz w:val="22"/>
          <w:szCs w:val="22"/>
        </w:rPr>
        <w:t>of 1.702 (95% CI, 1.680</w:t>
      </w:r>
      <w:r w:rsidR="002116C5">
        <w:rPr>
          <w:sz w:val="22"/>
          <w:szCs w:val="22"/>
        </w:rPr>
        <w:t>-</w:t>
      </w:r>
      <w:r w:rsidR="00A56419">
        <w:rPr>
          <w:sz w:val="22"/>
          <w:szCs w:val="22"/>
        </w:rPr>
        <w:t>1.725) and 1.169 (1.162</w:t>
      </w:r>
      <w:r w:rsidR="002116C5">
        <w:rPr>
          <w:sz w:val="22"/>
          <w:szCs w:val="22"/>
        </w:rPr>
        <w:t>-</w:t>
      </w:r>
      <w:r w:rsidR="00A56419">
        <w:rPr>
          <w:sz w:val="22"/>
          <w:szCs w:val="22"/>
        </w:rPr>
        <w:t>1.175) were observed for PM</w:t>
      </w:r>
      <w:r w:rsidR="00A56419" w:rsidRPr="00A56419">
        <w:rPr>
          <w:sz w:val="22"/>
          <w:szCs w:val="22"/>
          <w:vertAlign w:val="subscript"/>
        </w:rPr>
        <w:t>2.5</w:t>
      </w:r>
      <w:r w:rsidR="00952592">
        <w:rPr>
          <w:sz w:val="22"/>
          <w:szCs w:val="22"/>
        </w:rPr>
        <w:t xml:space="preserve"> </w:t>
      </w:r>
      <w:r w:rsidR="004B213E">
        <w:rPr>
          <w:sz w:val="22"/>
          <w:szCs w:val="22"/>
        </w:rPr>
        <w:t>associated</w:t>
      </w:r>
      <w:r w:rsidR="005C76F1" w:rsidRPr="005C76F1">
        <w:rPr>
          <w:sz w:val="22"/>
          <w:szCs w:val="22"/>
        </w:rPr>
        <w:t xml:space="preserve"> </w:t>
      </w:r>
      <w:r w:rsidR="00952592">
        <w:rPr>
          <w:sz w:val="22"/>
          <w:szCs w:val="22"/>
        </w:rPr>
        <w:t xml:space="preserve">with </w:t>
      </w:r>
      <w:r w:rsidR="00A56419">
        <w:rPr>
          <w:sz w:val="22"/>
          <w:szCs w:val="22"/>
        </w:rPr>
        <w:t xml:space="preserve">mortality </w:t>
      </w:r>
      <w:r w:rsidR="00B112C1">
        <w:rPr>
          <w:sz w:val="22"/>
          <w:szCs w:val="22"/>
        </w:rPr>
        <w:t xml:space="preserve">for the full cohort and individuals with the greatest </w:t>
      </w:r>
      <w:proofErr w:type="spellStart"/>
      <w:r w:rsidR="00B112C1">
        <w:rPr>
          <w:sz w:val="22"/>
          <w:szCs w:val="22"/>
        </w:rPr>
        <w:t>tertile</w:t>
      </w:r>
      <w:proofErr w:type="spellEnd"/>
      <w:r w:rsidR="00B112C1">
        <w:rPr>
          <w:sz w:val="22"/>
          <w:szCs w:val="22"/>
        </w:rPr>
        <w:t xml:space="preserve"> of NDVI</w:t>
      </w:r>
      <w:r w:rsidR="00C27B84">
        <w:rPr>
          <w:sz w:val="22"/>
          <w:szCs w:val="22"/>
        </w:rPr>
        <w:t xml:space="preserve">. </w:t>
      </w:r>
      <w:r w:rsidR="00A94736">
        <w:rPr>
          <w:sz w:val="22"/>
          <w:szCs w:val="22"/>
        </w:rPr>
        <w:t>Exposures</w:t>
      </w:r>
      <w:r w:rsidR="002116C5">
        <w:rPr>
          <w:sz w:val="22"/>
          <w:szCs w:val="22"/>
        </w:rPr>
        <w:t xml:space="preserve"> to PM</w:t>
      </w:r>
      <w:r w:rsidR="002116C5" w:rsidRPr="00DC449D">
        <w:rPr>
          <w:sz w:val="22"/>
          <w:szCs w:val="22"/>
          <w:vertAlign w:val="subscript"/>
        </w:rPr>
        <w:t>2.5</w:t>
      </w:r>
      <w:r w:rsidR="002116C5">
        <w:rPr>
          <w:sz w:val="22"/>
          <w:szCs w:val="22"/>
        </w:rPr>
        <w:t xml:space="preserve"> were </w:t>
      </w:r>
      <w:r w:rsidR="00D43342">
        <w:rPr>
          <w:sz w:val="22"/>
          <w:szCs w:val="22"/>
        </w:rPr>
        <w:t>stronger in association with mortality for young</w:t>
      </w:r>
      <w:r w:rsidR="00BC30E2">
        <w:rPr>
          <w:sz w:val="22"/>
          <w:szCs w:val="22"/>
        </w:rPr>
        <w:t>er</w:t>
      </w:r>
      <w:r w:rsidR="00D43342">
        <w:rPr>
          <w:sz w:val="22"/>
          <w:szCs w:val="22"/>
        </w:rPr>
        <w:t xml:space="preserve"> patients </w:t>
      </w:r>
      <w:r w:rsidR="00F438A4">
        <w:rPr>
          <w:sz w:val="22"/>
          <w:szCs w:val="22"/>
        </w:rPr>
        <w:t>[HR: 2.434 (2.432-2.435)], female [2.209 (1.874-2</w:t>
      </w:r>
      <w:r w:rsidR="00C6143D">
        <w:rPr>
          <w:sz w:val="22"/>
          <w:szCs w:val="22"/>
        </w:rPr>
        <w:t>.</w:t>
      </w:r>
      <w:r w:rsidR="00F438A4">
        <w:rPr>
          <w:sz w:val="22"/>
          <w:szCs w:val="22"/>
        </w:rPr>
        <w:t>845)], patients in rural [1.780 (1.731-1.829)], and</w:t>
      </w:r>
      <w:r w:rsidR="009039E4">
        <w:rPr>
          <w:sz w:val="22"/>
          <w:szCs w:val="22"/>
        </w:rPr>
        <w:t xml:space="preserve"> </w:t>
      </w:r>
      <w:r w:rsidR="00F438A4">
        <w:rPr>
          <w:sz w:val="22"/>
          <w:szCs w:val="22"/>
        </w:rPr>
        <w:t xml:space="preserve">from Ningxia [1.221 (1.078-1.385)]. </w:t>
      </w:r>
      <w:r w:rsidR="0040100B">
        <w:rPr>
          <w:sz w:val="22"/>
          <w:szCs w:val="22"/>
        </w:rPr>
        <w:t>Cumulative exposure</w:t>
      </w:r>
      <w:r w:rsidR="00AB55F8">
        <w:rPr>
          <w:sz w:val="22"/>
          <w:szCs w:val="22"/>
        </w:rPr>
        <w:t>s</w:t>
      </w:r>
      <w:r w:rsidR="0040100B">
        <w:rPr>
          <w:sz w:val="22"/>
          <w:szCs w:val="22"/>
        </w:rPr>
        <w:t xml:space="preserve"> increased the HRs of </w:t>
      </w:r>
      <w:r w:rsidR="007075C9">
        <w:rPr>
          <w:bCs/>
          <w:sz w:val="22"/>
          <w:szCs w:val="22"/>
        </w:rPr>
        <w:t>PM</w:t>
      </w:r>
      <w:r w:rsidR="007075C9" w:rsidRPr="00B528E4">
        <w:rPr>
          <w:bCs/>
          <w:sz w:val="22"/>
          <w:szCs w:val="22"/>
          <w:vertAlign w:val="subscript"/>
        </w:rPr>
        <w:t>2.5</w:t>
      </w:r>
      <w:r w:rsidR="007075C9">
        <w:rPr>
          <w:bCs/>
          <w:sz w:val="22"/>
          <w:szCs w:val="22"/>
        </w:rPr>
        <w:t>-related mortality, while greater greenness flattened the</w:t>
      </w:r>
      <w:r w:rsidR="00856DD0">
        <w:rPr>
          <w:bCs/>
          <w:sz w:val="22"/>
          <w:szCs w:val="22"/>
        </w:rPr>
        <w:t xml:space="preserve"> risk</w:t>
      </w:r>
      <w:r w:rsidR="00AB55F8">
        <w:rPr>
          <w:bCs/>
          <w:sz w:val="22"/>
          <w:szCs w:val="22"/>
        </w:rPr>
        <w:t xml:space="preserve"> </w:t>
      </w:r>
      <w:r w:rsidR="00D54786">
        <w:rPr>
          <w:bCs/>
          <w:sz w:val="22"/>
          <w:szCs w:val="22"/>
        </w:rPr>
        <w:t>with HRs reduced in 0.188</w:t>
      </w:r>
      <w:r w:rsidR="00CB778A">
        <w:rPr>
          <w:bCs/>
          <w:sz w:val="22"/>
          <w:szCs w:val="22"/>
        </w:rPr>
        <w:t xml:space="preserve">-0.194 </w:t>
      </w:r>
      <w:r w:rsidR="00B075C9">
        <w:rPr>
          <w:bCs/>
          <w:sz w:val="22"/>
          <w:szCs w:val="22"/>
        </w:rPr>
        <w:t>on</w:t>
      </w:r>
      <w:r w:rsidR="00CB778A">
        <w:rPr>
          <w:bCs/>
          <w:sz w:val="22"/>
          <w:szCs w:val="22"/>
        </w:rPr>
        <w:t xml:space="preserve"> average</w:t>
      </w:r>
      <w:r w:rsidR="00856DD0">
        <w:rPr>
          <w:bCs/>
          <w:sz w:val="22"/>
          <w:szCs w:val="22"/>
        </w:rPr>
        <w:t xml:space="preserve">. </w:t>
      </w:r>
    </w:p>
    <w:p w14:paraId="2391465D" w14:textId="0EAC105E" w:rsidR="0029064A" w:rsidRPr="00BC3FAE" w:rsidRDefault="0029064A" w:rsidP="007719C5">
      <w:pPr>
        <w:spacing w:line="480" w:lineRule="auto"/>
        <w:rPr>
          <w:sz w:val="22"/>
          <w:szCs w:val="22"/>
        </w:rPr>
      </w:pPr>
      <w:r w:rsidRPr="00053BA0">
        <w:rPr>
          <w:b/>
          <w:sz w:val="22"/>
          <w:szCs w:val="22"/>
        </w:rPr>
        <w:t>Conclusions:</w:t>
      </w:r>
      <w:r w:rsidR="00BC3FAE">
        <w:rPr>
          <w:sz w:val="22"/>
          <w:szCs w:val="22"/>
        </w:rPr>
        <w:t xml:space="preserve"> Individuals with MDR-TB could benefit </w:t>
      </w:r>
      <w:r w:rsidR="00913217">
        <w:rPr>
          <w:rFonts w:hint="eastAsia"/>
          <w:sz w:val="22"/>
          <w:szCs w:val="22"/>
        </w:rPr>
        <w:t>from</w:t>
      </w:r>
      <w:r w:rsidR="00913217">
        <w:rPr>
          <w:sz w:val="22"/>
          <w:szCs w:val="22"/>
        </w:rPr>
        <w:t xml:space="preserve"> </w:t>
      </w:r>
      <w:r w:rsidR="00BC3FAE">
        <w:rPr>
          <w:sz w:val="22"/>
          <w:szCs w:val="22"/>
        </w:rPr>
        <w:t>greenness by having attenuated associations between PM</w:t>
      </w:r>
      <w:r w:rsidR="00BC3FAE" w:rsidRPr="00BC3FAE">
        <w:rPr>
          <w:sz w:val="22"/>
          <w:szCs w:val="22"/>
          <w:vertAlign w:val="subscript"/>
        </w:rPr>
        <w:t>2.5</w:t>
      </w:r>
      <w:r w:rsidR="00BC3FAE">
        <w:rPr>
          <w:sz w:val="22"/>
          <w:szCs w:val="22"/>
        </w:rPr>
        <w:t xml:space="preserve"> and mortality. Improving greener space and air quality may contribute to lower the risk of mortality from </w:t>
      </w:r>
      <w:r w:rsidR="002F43F2">
        <w:rPr>
          <w:sz w:val="22"/>
          <w:szCs w:val="22"/>
        </w:rPr>
        <w:t xml:space="preserve">TB/MDR-TB and other diseases. </w:t>
      </w:r>
    </w:p>
    <w:p w14:paraId="6AF3F9B5" w14:textId="77777777" w:rsidR="00C76232" w:rsidRDefault="00C76232" w:rsidP="007719C5">
      <w:pPr>
        <w:spacing w:line="480" w:lineRule="auto"/>
        <w:rPr>
          <w:sz w:val="22"/>
          <w:szCs w:val="22"/>
        </w:rPr>
      </w:pPr>
    </w:p>
    <w:p w14:paraId="0AC3188F" w14:textId="0050AD78" w:rsidR="0047187E" w:rsidRDefault="002F43F2" w:rsidP="007719C5">
      <w:pPr>
        <w:spacing w:line="480" w:lineRule="auto"/>
        <w:rPr>
          <w:bCs/>
          <w:sz w:val="22"/>
          <w:szCs w:val="22"/>
        </w:rPr>
      </w:pPr>
      <w:r>
        <w:rPr>
          <w:b/>
          <w:bCs/>
          <w:sz w:val="22"/>
          <w:szCs w:val="22"/>
        </w:rPr>
        <w:t xml:space="preserve">Key words: </w:t>
      </w:r>
      <w:r>
        <w:rPr>
          <w:bCs/>
          <w:sz w:val="22"/>
          <w:szCs w:val="22"/>
        </w:rPr>
        <w:t xml:space="preserve"> Multidrug resistant tuberculosis, Air pollution, </w:t>
      </w:r>
      <w:r w:rsidR="004D251B">
        <w:rPr>
          <w:bCs/>
          <w:sz w:val="22"/>
          <w:szCs w:val="22"/>
        </w:rPr>
        <w:t>PM</w:t>
      </w:r>
      <w:r w:rsidR="004D251B" w:rsidRPr="004D251B">
        <w:rPr>
          <w:bCs/>
          <w:sz w:val="22"/>
          <w:szCs w:val="22"/>
          <w:vertAlign w:val="subscript"/>
        </w:rPr>
        <w:t>2.5</w:t>
      </w:r>
      <w:r w:rsidR="004D251B">
        <w:rPr>
          <w:bCs/>
          <w:sz w:val="22"/>
          <w:szCs w:val="22"/>
        </w:rPr>
        <w:t xml:space="preserve">, </w:t>
      </w:r>
      <w:r>
        <w:rPr>
          <w:bCs/>
          <w:sz w:val="22"/>
          <w:szCs w:val="22"/>
        </w:rPr>
        <w:t xml:space="preserve">Greenness, All-cause mortality   </w:t>
      </w:r>
    </w:p>
    <w:p w14:paraId="18F04C47" w14:textId="77777777" w:rsidR="0047187E" w:rsidRDefault="0047187E" w:rsidP="007719C5">
      <w:pPr>
        <w:spacing w:line="480" w:lineRule="auto"/>
        <w:rPr>
          <w:b/>
          <w:bCs/>
          <w:sz w:val="22"/>
          <w:szCs w:val="22"/>
        </w:rPr>
      </w:pPr>
    </w:p>
    <w:p w14:paraId="26FE517A" w14:textId="77777777" w:rsidR="0047187E" w:rsidRDefault="0047187E" w:rsidP="007719C5">
      <w:pPr>
        <w:spacing w:line="480" w:lineRule="auto"/>
        <w:rPr>
          <w:b/>
          <w:bCs/>
          <w:sz w:val="22"/>
          <w:szCs w:val="22"/>
        </w:rPr>
      </w:pPr>
    </w:p>
    <w:p w14:paraId="004A9625" w14:textId="51B978EF" w:rsidR="0047187E" w:rsidRDefault="008E0049" w:rsidP="0047187E">
      <w:pPr>
        <w:spacing w:line="480" w:lineRule="auto"/>
        <w:jc w:val="right"/>
        <w:rPr>
          <w:b/>
          <w:bCs/>
          <w:sz w:val="22"/>
          <w:szCs w:val="22"/>
        </w:rPr>
      </w:pPr>
      <w:r>
        <w:rPr>
          <w:b/>
          <w:bCs/>
          <w:sz w:val="22"/>
          <w:szCs w:val="22"/>
        </w:rPr>
        <w:t>2</w:t>
      </w:r>
      <w:r w:rsidR="00287276">
        <w:rPr>
          <w:b/>
          <w:bCs/>
          <w:sz w:val="22"/>
          <w:szCs w:val="22"/>
        </w:rPr>
        <w:t>50</w:t>
      </w:r>
      <w:r w:rsidR="0047187E">
        <w:rPr>
          <w:b/>
          <w:bCs/>
          <w:sz w:val="22"/>
          <w:szCs w:val="22"/>
        </w:rPr>
        <w:t xml:space="preserve"> word</w:t>
      </w:r>
      <w:r w:rsidR="0047187E">
        <w:rPr>
          <w:rFonts w:hint="eastAsia"/>
          <w:b/>
          <w:bCs/>
          <w:sz w:val="22"/>
          <w:szCs w:val="22"/>
        </w:rPr>
        <w:t>s</w:t>
      </w:r>
      <w:r w:rsidR="0047187E">
        <w:rPr>
          <w:b/>
          <w:bCs/>
          <w:sz w:val="22"/>
          <w:szCs w:val="22"/>
        </w:rPr>
        <w:t xml:space="preserve"> in Abstract </w:t>
      </w:r>
    </w:p>
    <w:p w14:paraId="3BEF9352" w14:textId="590FF9D8" w:rsidR="004227F1" w:rsidRDefault="0047187E" w:rsidP="00155244">
      <w:pPr>
        <w:spacing w:line="480" w:lineRule="auto"/>
        <w:jc w:val="right"/>
        <w:rPr>
          <w:b/>
          <w:bCs/>
          <w:sz w:val="22"/>
          <w:szCs w:val="22"/>
        </w:rPr>
      </w:pPr>
      <w:r>
        <w:rPr>
          <w:b/>
          <w:bCs/>
          <w:sz w:val="22"/>
          <w:szCs w:val="22"/>
        </w:rPr>
        <w:t>3</w:t>
      </w:r>
      <w:r w:rsidR="003A747B">
        <w:rPr>
          <w:b/>
          <w:bCs/>
          <w:sz w:val="22"/>
          <w:szCs w:val="22"/>
        </w:rPr>
        <w:t>432</w:t>
      </w:r>
      <w:r>
        <w:rPr>
          <w:b/>
          <w:bCs/>
          <w:sz w:val="22"/>
          <w:szCs w:val="22"/>
        </w:rPr>
        <w:t xml:space="preserve"> words in main text</w:t>
      </w:r>
    </w:p>
    <w:p w14:paraId="475F97FD" w14:textId="78F07619" w:rsidR="00FD23AB" w:rsidRDefault="00FD23AB" w:rsidP="007719C5">
      <w:pPr>
        <w:spacing w:line="480" w:lineRule="auto"/>
        <w:rPr>
          <w:sz w:val="22"/>
          <w:szCs w:val="22"/>
        </w:rPr>
      </w:pPr>
      <w:r w:rsidRPr="002B6C61">
        <w:rPr>
          <w:b/>
          <w:bCs/>
          <w:sz w:val="22"/>
          <w:szCs w:val="22"/>
        </w:rPr>
        <w:lastRenderedPageBreak/>
        <w:t>Introduction</w:t>
      </w:r>
      <w:r w:rsidR="00B00AE3">
        <w:rPr>
          <w:sz w:val="22"/>
          <w:szCs w:val="22"/>
        </w:rPr>
        <w:t xml:space="preserve"> </w:t>
      </w:r>
    </w:p>
    <w:p w14:paraId="3F7ACF7B" w14:textId="2922A4E9" w:rsidR="009151AD" w:rsidRPr="002F392F" w:rsidRDefault="009B0AF2" w:rsidP="007719C5">
      <w:pPr>
        <w:spacing w:line="480" w:lineRule="auto"/>
        <w:rPr>
          <w:iCs/>
          <w:sz w:val="22"/>
          <w:szCs w:val="22"/>
        </w:rPr>
      </w:pPr>
      <w:r>
        <w:rPr>
          <w:sz w:val="22"/>
          <w:szCs w:val="22"/>
        </w:rPr>
        <w:t xml:space="preserve">Earlier studies have shown that particular matter (PM) in alveolar macrophages alters </w:t>
      </w:r>
      <w:r w:rsidRPr="00DC63F9">
        <w:rPr>
          <w:i/>
          <w:iCs/>
          <w:sz w:val="22"/>
          <w:szCs w:val="22"/>
        </w:rPr>
        <w:t>M. tuberculosis</w:t>
      </w:r>
      <w:r>
        <w:rPr>
          <w:i/>
          <w:iCs/>
          <w:sz w:val="22"/>
          <w:szCs w:val="22"/>
        </w:rPr>
        <w:t>-</w:t>
      </w:r>
      <w:r>
        <w:rPr>
          <w:iCs/>
          <w:sz w:val="22"/>
          <w:szCs w:val="22"/>
        </w:rPr>
        <w:t>induced cytokine production in the lung and systemic components, resulting in relative cellular unresponsiveness</w:t>
      </w:r>
      <w:r w:rsidR="003C25D4">
        <w:rPr>
          <w:iCs/>
          <w:sz w:val="22"/>
          <w:szCs w:val="22"/>
        </w:rPr>
        <w:t xml:space="preserve"> </w:t>
      </w:r>
      <w:r w:rsidRPr="00DA74BE">
        <w:rPr>
          <w:iCs/>
          <w:sz w:val="22"/>
          <w:szCs w:val="22"/>
        </w:rPr>
        <w:fldChar w:fldCharType="begin"/>
      </w:r>
      <w:r w:rsidR="00B91EB8">
        <w:rPr>
          <w:iCs/>
          <w:sz w:val="22"/>
          <w:szCs w:val="22"/>
        </w:rPr>
        <w:instrText xml:space="preserve"> ADDIN ZOTERO_ITEM CSL_CITATION {"citationID":"vVGVhZWC","properties":{"formattedCitation":"[1]","plainCitation":"[1]","noteIndex":0},"citationItems":[{"id":254,"uris":["http://zotero.org/users/4920080/items/DDZDGZZ5"],"uri":["http://zotero.org/users/4920080/items/DDZDGZZ5"],"itemData":{"id":254,"type":"article-journal","abstract":"RATIONALE: Associations between urban (outdoor) airborne particulate matter (PM) exposure and TB and potential biological mechanisms are poorly explored.\nOBJECTIVES: To examine whether in vivo exposure to urban outdoor PM in Mexico City and in vitro exposure to urban outdoor PM2.5 (&lt; 2.5 µm median aerodynamic diameter) alters human host immune cell responses to Mycobacterium tuberculosis.\nMETHODS: Cellular toxicity (flow cytometry, proliferation assay (MTS assay)), M. tuberculosis and PM2.5 phagocytosis (microscopy), cytokine-producing cells (Enzyme-linked immune absorbent spot (ELISPOT)), and signalling pathway markers (western blot) were examined in bronchoalveolar cells (BAC) and peripheral blood mononuclear cells (PBMC) from healthy, non-smoking, residents of Mexico City (n=35; 13 female, 22 male). In vivo-acquired PM burden in alveolar macrophages (AM) was measured by digital image analysis.\nMEASUREMENTS AND MAIN RESULTS: In vitro exposure of AM to PM2.5 did not affect M. tuberculosis phagocytosis. High in vivo-acquired AM PM burden reduced constitutive, M. tuberculosis and PM-induced interleukin-1β production in freshly isolated BAC but not in autologous PBMC while it reduced constitutive production of tumour necrosis factor-alpha in both BAC and PBMC. Further, PM burden was positively correlated with constitutive, PM, M. tuberculosis and purified protein derivative (PPD)-induced interferon gamma (IFN-γ) in BAC, and negatively correlated with PPD-induced IFN-γ in PBMC.\nCONCLUSIONS: Inhalation exposure to urban air pollution PM impairs important components of the protective human lung and systemic immune response against M. tuberculosis. PM load in AM is correlated with altered M. tuberculosis-induced cytokine production in the lung and systemic compartments. Chronic PM exposure with high constitutive expression of proinflammatory cytokines results in relative cellular unresponsiveness.","container-title":"Thorax","DOI":"10.1136/thoraxjnl-2018-212529","ISSN":"1468-3296","issue":"7","journalAbbreviation":"Thorax","language":"eng","note":"PMID: 31036772\nPMCID: PMC7162557","page":"675-683","source":"PubMed","title":"Urban airborne particle exposure impairs human lung and blood Mycobacterium tuberculosis immunity","volume":"74","author":[{"family":"Torres","given":"Martha"},{"family":"Carranza","given":"Claudia"},{"family":"Sarkar","given":"Srijata"},{"family":"Gonzalez","given":"Yolanda"},{"family":"Osornio Vargas","given":"Alvaro"},{"family":"Black","given":"Kathleen"},{"family":"Meng","given":"Qingyu"},{"family":"Quintana-Belmares","given":"Raul"},{"family":"Hernandez","given":"Martha"},{"family":"Angeles Garcia","given":"Jose Juan F."},{"family":"Páramo-Figueroa","given":"Victor Hugo"},{"family":"Iñiguez-Garcia","given":"Marco Antonio"},{"family":"Flores","given":"Jose L."},{"family":"Zhang","given":"Junfeng Jim"},{"family":"Gardner","given":"Carol R."},{"family":"Ohman-Strickland","given":"Pamela"},{"family":"Schwander","given":"Stephan"}],"issued":{"date-parts":[["2019"]]}}}],"schema":"https://github.com/citation-style-language/schema/raw/master/csl-citation.json"} </w:instrText>
      </w:r>
      <w:r w:rsidRPr="00DA74BE">
        <w:rPr>
          <w:iCs/>
          <w:sz w:val="22"/>
          <w:szCs w:val="22"/>
        </w:rPr>
        <w:fldChar w:fldCharType="separate"/>
      </w:r>
      <w:r w:rsidRPr="00DA74BE">
        <w:rPr>
          <w:iCs/>
          <w:noProof/>
          <w:sz w:val="22"/>
          <w:szCs w:val="22"/>
        </w:rPr>
        <w:t>[1]</w:t>
      </w:r>
      <w:r w:rsidRPr="00DA74BE">
        <w:rPr>
          <w:iCs/>
          <w:sz w:val="22"/>
          <w:szCs w:val="22"/>
        </w:rPr>
        <w:fldChar w:fldCharType="end"/>
      </w:r>
      <w:r w:rsidRPr="00DA74BE">
        <w:rPr>
          <w:iCs/>
          <w:sz w:val="22"/>
          <w:szCs w:val="22"/>
        </w:rPr>
        <w:t>.</w:t>
      </w:r>
      <w:r>
        <w:rPr>
          <w:iCs/>
          <w:sz w:val="22"/>
          <w:szCs w:val="22"/>
        </w:rPr>
        <w:t xml:space="preserve"> Inhalation exposure to PM </w:t>
      </w:r>
      <w:r w:rsidR="00754D34">
        <w:rPr>
          <w:sz w:val="22"/>
          <w:szCs w:val="22"/>
        </w:rPr>
        <w:t xml:space="preserve">impairs important components of the protective human lung and results in </w:t>
      </w:r>
      <w:r w:rsidR="00C34403">
        <w:rPr>
          <w:sz w:val="22"/>
          <w:szCs w:val="22"/>
        </w:rPr>
        <w:t xml:space="preserve">suppressing </w:t>
      </w:r>
      <w:r w:rsidR="00754D34">
        <w:rPr>
          <w:sz w:val="22"/>
          <w:szCs w:val="22"/>
        </w:rPr>
        <w:t xml:space="preserve">systemic immune </w:t>
      </w:r>
      <w:r w:rsidR="00DC63F9">
        <w:rPr>
          <w:sz w:val="22"/>
          <w:szCs w:val="22"/>
        </w:rPr>
        <w:t xml:space="preserve">response against </w:t>
      </w:r>
      <w:r w:rsidR="00DC63F9" w:rsidRPr="00DC63F9">
        <w:rPr>
          <w:i/>
          <w:iCs/>
          <w:sz w:val="22"/>
          <w:szCs w:val="22"/>
        </w:rPr>
        <w:t>M. tuberculosis</w:t>
      </w:r>
      <w:r>
        <w:rPr>
          <w:i/>
          <w:iCs/>
          <w:sz w:val="22"/>
          <w:szCs w:val="22"/>
        </w:rPr>
        <w:t xml:space="preserve"> </w:t>
      </w:r>
      <w:r w:rsidRPr="009B0AF2">
        <w:rPr>
          <w:iCs/>
          <w:sz w:val="22"/>
          <w:szCs w:val="22"/>
        </w:rPr>
        <w:fldChar w:fldCharType="begin"/>
      </w:r>
      <w:r w:rsidR="00B91EB8">
        <w:rPr>
          <w:iCs/>
          <w:sz w:val="22"/>
          <w:szCs w:val="22"/>
        </w:rPr>
        <w:instrText xml:space="preserve"> ADDIN ZOTERO_ITEM CSL_CITATION {"citationID":"4ewNoepa","properties":{"formattedCitation":"[2]","plainCitation":"[2]","noteIndex":0},"citationItems":[{"id":255,"uris":["http://zotero.org/users/4920080/items/DUDA7WEA"],"uri":["http://zotero.org/users/4920080/items/DUDA7WEA"],"itemData":{"id":255,"type":"article-journal","abstract":"Exposure to air pollution particulate matter (PM) and tuberculosis (TB) are two of the leading global public health challenges affecting low and middle income countries. An estimated 4.26 million premature deaths are attributable to household air pollution and an additional 4.1 million to outdoor air pollution annually. Mycobacterium tuberculosis (M.tb) infects a large proportion of the world's population with the risk for TB development increasing during immunosuppressing conditions. There is strong evidence that such immunosuppressive conditions develop during household air pollution exposure, which increases rates of TB development. Exposure to urban air pollution has been shown to alter the outcome of TB therapy. Here we examined whether in vitro exposure to urban air pollution PM alters human immune responses to M.tb. PM2.5 and PM10 (aerodynamic diameters &lt;2.5μm, &lt;10μm) were collected monthly from rainy, cold-dry and warm-dry seasons in Iztapalapa, a highly populated TB-endemic municipality of Mexico City with elevated outdoor air pollution levels. We evaluated the effects of seasonality and size of PM on cytotoxicity and antimycobacterial host immunity in human peripheral blood mononuclear cells (PBMC) from interferon gamma (IFN-γ) release assay (IGRA)+ and IGRA- healthy study subjects. PM10 from cold-dry and warm-dry seasons induced the highest cytotoxicity in PBMC. With the exception of PM2.5 from the cold-dry season, pre-exposure to all seasonal PM reduced M.tb phagocytosis by PBMC. Furthermore, M.tb-induced IFN-γ production was suppressed in PM2.5 and PM10-pre-exposed PBMC from IGRA+ subjects. This observation coincides with the reduced expression of M.tb-induced T-bet, a transcription factor regulating IFN-γ expression in T cells. Pre-exposure to PM10 compared to PM2.5 led to greater loss of M.tb growth control. Exposure to PM2.5 and PM10 collected in different seasons differentially impairs M.tb-induced human host immunity, suggesting biological mechanisms underlying altered M.tb infection and TB treatment outcomes during air pollution exposures.","container-title":"PloS One","DOI":"10.1371/journal.pone.0219122","ISSN":"1932-6203","issue":"7","journalAbbreviation":"PLoS ONE","language":"eng","note":"PMID: 31295271\nPMCID: PMC6622489","page":"e0219122","source":"PubMed","title":"Season and size of urban particulate matter differentially affect cytotoxicity and human immune responses to Mycobacterium tuberculosis","volume":"14","author":[{"family":"Sarkar","given":"Srijata"},{"family":"Rivas-Santiago","given":"César E."},{"family":"Ibironke","given":"Olufunmilola A."},{"family":"Carranza","given":"Claudia"},{"family":"Meng","given":"Qingyu"},{"family":"Osornio-Vargas","given":"Álvaro"},{"family":"Zhang","given":"Junfeng"},{"family":"Torres","given":"Martha"},{"family":"Chow","given":"Judith C."},{"family":"Watson","given":"John G."},{"family":"Ohman-Strickland","given":"Pamela"},{"family":"Schwander","given":"Stephan"}],"issued":{"date-parts":[["2019"]]}}}],"schema":"https://github.com/citation-style-language/schema/raw/master/csl-citation.json"} </w:instrText>
      </w:r>
      <w:r w:rsidRPr="009B0AF2">
        <w:rPr>
          <w:iCs/>
          <w:sz w:val="22"/>
          <w:szCs w:val="22"/>
        </w:rPr>
        <w:fldChar w:fldCharType="separate"/>
      </w:r>
      <w:r w:rsidRPr="009B0AF2">
        <w:rPr>
          <w:iCs/>
          <w:noProof/>
          <w:sz w:val="22"/>
          <w:szCs w:val="22"/>
        </w:rPr>
        <w:t>[2]</w:t>
      </w:r>
      <w:r w:rsidRPr="009B0AF2">
        <w:rPr>
          <w:iCs/>
          <w:sz w:val="22"/>
          <w:szCs w:val="22"/>
        </w:rPr>
        <w:fldChar w:fldCharType="end"/>
      </w:r>
      <w:r w:rsidRPr="009B0AF2">
        <w:rPr>
          <w:iCs/>
          <w:sz w:val="22"/>
          <w:szCs w:val="22"/>
        </w:rPr>
        <w:t>.</w:t>
      </w:r>
      <w:r>
        <w:rPr>
          <w:iCs/>
          <w:sz w:val="22"/>
          <w:szCs w:val="22"/>
        </w:rPr>
        <w:t xml:space="preserve"> </w:t>
      </w:r>
      <w:r w:rsidR="002F392F">
        <w:rPr>
          <w:iCs/>
          <w:sz w:val="22"/>
          <w:szCs w:val="22"/>
        </w:rPr>
        <w:t>A previous California cohort found that living near to high traffic volume and density roads was associated with 3</w:t>
      </w:r>
      <w:r w:rsidR="00B66C55">
        <w:rPr>
          <w:iCs/>
          <w:sz w:val="22"/>
          <w:szCs w:val="22"/>
        </w:rPr>
        <w:t>~</w:t>
      </w:r>
      <w:r w:rsidR="002F392F">
        <w:rPr>
          <w:iCs/>
          <w:sz w:val="22"/>
          <w:szCs w:val="22"/>
        </w:rPr>
        <w:t xml:space="preserve">28% increased risk of death during </w:t>
      </w:r>
      <w:r w:rsidR="00225D77">
        <w:rPr>
          <w:iCs/>
          <w:sz w:val="22"/>
          <w:szCs w:val="22"/>
        </w:rPr>
        <w:t>tuberculosis (TB)</w:t>
      </w:r>
      <w:r w:rsidR="002F392F">
        <w:rPr>
          <w:iCs/>
          <w:sz w:val="22"/>
          <w:szCs w:val="22"/>
        </w:rPr>
        <w:t xml:space="preserve"> treatment, implying adverse impacts of traffic-related air pollution on TB patients</w:t>
      </w:r>
      <w:r w:rsidR="00B66C55">
        <w:rPr>
          <w:iCs/>
          <w:sz w:val="22"/>
          <w:szCs w:val="22"/>
        </w:rPr>
        <w:t xml:space="preserve"> </w:t>
      </w:r>
      <w:r w:rsidR="00B66C55">
        <w:rPr>
          <w:iCs/>
          <w:sz w:val="22"/>
          <w:szCs w:val="22"/>
        </w:rPr>
        <w:fldChar w:fldCharType="begin"/>
      </w:r>
      <w:r w:rsidR="00B91EB8">
        <w:rPr>
          <w:iCs/>
          <w:sz w:val="22"/>
          <w:szCs w:val="22"/>
        </w:rPr>
        <w:instrText xml:space="preserve"> ADDIN ZOTERO_ITEM CSL_CITATION {"citationID":"XZ1VADEf","properties":{"formattedCitation":"[3]","plainCitation":"[3]","noteIndex":0},"citationItems":[{"id":24,"uris":["http://zotero.org/users/4920080/items/73GYBYEM"],"uri":["http://zotero.org/users/4920080/items/73GYBYEM"],"itemData":{"id":24,"type":"article-journal","abstract":"Background:\nAmbient air pollution and tuberculosis (TB) have an impact on public health worldwide, yet associations between the two remain uncertain.\n\nObjective:\nWe determined the impact of residential traffic on mortality during treatment of active TB.\n\nMethods:\nFrom 2000–2012, we enrolled 32,875 patients in California with active TB and followed them throughout treatment. We obtained patient data from the California Tuberculosis Registry and calculated traffic volumes and traffic densities in 100- to 400-m radius buffers around residential addresses. We used Cox models to determine mortality hazard ratios, controlling for demographic, socioeconomic, and clinical potential confounders. We categorized traffic exposures as quintiles and determined trends using Wald tests.\n\nResults:\nParticipants contributed 22,576 person-years at risk. There were 2,305 deaths during treatment for a crude mortality rate of 1,021 deaths per 10,000 person-years. Traffic volumes and traffic densities in all buffers around patient residences were associated with increased mortality during TB treatment, although the findings were not statistically significant in all buffers. As the buffer size decreased, fifth-quintile mortality hazards increased, and trends across quintiles of traffic exposure became more statistically significant. Increasing quintiles of nearest-road traffic volumes in the 100-m buffer were associated with 3%, 14%, 19%, and 28% increased risk of death during TB treatment [first quintile, referent; second quintile hazard ratio (HR)=1.03 [95% confidence interval (CI): 0.86, 1.25]; third quintile HR=1.14 (95% CI: 0.95, 1.37); fourth quintile HR=1.19 (95% CI: 0.99, 1.43); fifth quintile HR=1.28 (95% CI: 1.07, 1.53), respectively; p-trend=0.002].\n\nConclusions:\nResidential proximity to road traffic volumes and traffic density were associated with increased all-cause mortality in patients undergoing treatment for active tuberculosis even after adjusting for multiple demographic, socioeconomic, and clinical factors, suggesting that TB patients are susceptible to the adverse health effects of traffic-related air pollution. https://doi.org/10.1289/EHP1699","container-title":"Environmental Health Perspectives","DOI":"10.1289/EHP1699","ISSN":"0091-6765","issue":"9","journalAbbreviation":"Environ Health Perspect","note":"PMID: 28963088\nPMCID: PMC5915191","source":"PubMed Central","title":"Traffic-Related Air Pollution and All-Cause Mortality during Tuberculosis Treatment in California","URL":"https://www.ncbi.nlm.nih.gov/pmc/articles/PMC5915191/","volume":"125","author":[{"family":"Blount","given":"Robert J."},{"family":"Pascopella","given":"Lisa"},{"family":"Catanzaro","given":"Donald G."},{"family":"Barry","given":"Pennan M."},{"family":"English","given":"Paul B."},{"family":"Segal","given":"Mark R."},{"family":"Flood","given":"Jennifer"},{"family":"Meltzer","given":"Dan"},{"family":"Jones","given":"Brenda"},{"family":"Balmes","given":"John"},{"family":"Nahid","given":"Payam"}],"accessed":{"date-parts":[["2018",10,18]]},"issued":{"date-parts":[["2017",9,29]]}}}],"schema":"https://github.com/citation-style-language/schema/raw/master/csl-citation.json"} </w:instrText>
      </w:r>
      <w:r w:rsidR="00B66C55">
        <w:rPr>
          <w:iCs/>
          <w:sz w:val="22"/>
          <w:szCs w:val="22"/>
        </w:rPr>
        <w:fldChar w:fldCharType="separate"/>
      </w:r>
      <w:r w:rsidR="00B66C55">
        <w:rPr>
          <w:iCs/>
          <w:noProof/>
          <w:sz w:val="22"/>
          <w:szCs w:val="22"/>
        </w:rPr>
        <w:t>[3]</w:t>
      </w:r>
      <w:r w:rsidR="00B66C55">
        <w:rPr>
          <w:iCs/>
          <w:sz w:val="22"/>
          <w:szCs w:val="22"/>
        </w:rPr>
        <w:fldChar w:fldCharType="end"/>
      </w:r>
      <w:r w:rsidR="002F392F">
        <w:rPr>
          <w:iCs/>
          <w:sz w:val="22"/>
          <w:szCs w:val="22"/>
        </w:rPr>
        <w:t>.</w:t>
      </w:r>
      <w:r w:rsidR="000943B4">
        <w:rPr>
          <w:iCs/>
          <w:sz w:val="22"/>
          <w:szCs w:val="22"/>
        </w:rPr>
        <w:t xml:space="preserve"> </w:t>
      </w:r>
      <w:r w:rsidR="002F392F">
        <w:rPr>
          <w:iCs/>
          <w:sz w:val="22"/>
          <w:szCs w:val="22"/>
        </w:rPr>
        <w:t xml:space="preserve">A recent systematic review </w:t>
      </w:r>
      <w:r w:rsidR="000943B4">
        <w:rPr>
          <w:rFonts w:hint="eastAsia"/>
          <w:iCs/>
          <w:sz w:val="22"/>
          <w:szCs w:val="22"/>
        </w:rPr>
        <w:t>s</w:t>
      </w:r>
      <w:r w:rsidR="002F392F">
        <w:rPr>
          <w:iCs/>
          <w:sz w:val="22"/>
          <w:szCs w:val="22"/>
        </w:rPr>
        <w:t xml:space="preserve">uggested that long-term exposure to air pollution could increase infections with </w:t>
      </w:r>
      <w:r w:rsidR="002F392F" w:rsidRPr="00DC63F9">
        <w:rPr>
          <w:i/>
          <w:iCs/>
          <w:sz w:val="22"/>
          <w:szCs w:val="22"/>
        </w:rPr>
        <w:t>M. tuberculosis</w:t>
      </w:r>
      <w:r w:rsidR="002F392F">
        <w:rPr>
          <w:iCs/>
          <w:sz w:val="22"/>
          <w:szCs w:val="22"/>
        </w:rPr>
        <w:t xml:space="preserve">, development of active TB, and TB-related mortality, </w:t>
      </w:r>
      <w:r w:rsidR="000943B4">
        <w:rPr>
          <w:iCs/>
          <w:sz w:val="22"/>
          <w:szCs w:val="22"/>
        </w:rPr>
        <w:t>while</w:t>
      </w:r>
      <w:r w:rsidR="002F392F">
        <w:rPr>
          <w:iCs/>
          <w:sz w:val="22"/>
          <w:szCs w:val="22"/>
        </w:rPr>
        <w:t xml:space="preserve"> </w:t>
      </w:r>
      <w:r w:rsidR="00BB6835">
        <w:rPr>
          <w:iCs/>
          <w:sz w:val="22"/>
          <w:szCs w:val="22"/>
        </w:rPr>
        <w:t>these associations are inconsistent due to the small number of the studies</w:t>
      </w:r>
      <w:r w:rsidR="000943B4">
        <w:rPr>
          <w:iCs/>
          <w:sz w:val="22"/>
          <w:szCs w:val="22"/>
        </w:rPr>
        <w:t xml:space="preserve"> </w:t>
      </w:r>
      <w:r w:rsidR="000943B4">
        <w:rPr>
          <w:iCs/>
          <w:sz w:val="22"/>
          <w:szCs w:val="22"/>
        </w:rPr>
        <w:fldChar w:fldCharType="begin"/>
      </w:r>
      <w:r w:rsidR="00B91EB8">
        <w:rPr>
          <w:iCs/>
          <w:sz w:val="22"/>
          <w:szCs w:val="22"/>
        </w:rPr>
        <w:instrText xml:space="preserve"> ADDIN ZOTERO_ITEM CSL_CITATION {"citationID":"6dGH8v6x","properties":{"formattedCitation":"[4]","plainCitation":"[4]","noteIndex":0},"citationItems":[{"id":248,"uris":["http://zotero.org/users/4920080/items/PNZEPK8K"],"uri":["http://zotero.org/users/4920080/items/PNZEPK8K"],"itemData":{"id":248,"type":"article-journal","abstract":"Ambient air pollution is the leading environmental risk factor for disease globally. Air pollutants can increase the risk of some respiratory infections, but their effects on tuberculosis (TB) are unclear. In this systematic literature review, we aimed to assess epidemiological studies on the association between outdoor air pollutants and TB incidence, hospital admissions and death (collectively referred to here as ‘TB outcomes’). We sought to consolidate available evidence on this topic and propose recommendations for future studies. Following PRISMA guidelines, we searched PubMed, Web of Science, Google Scholar, and Scopus with no restrictions imposed on year of publication. A total of 11 epidemiological studies, performed in Asia, Europe and North America, met our inclusion criteria (combined sample size: 215,337 people). We extracted key study characteristics from each eligible publication, including design, exposure assessment, analytical approaches and effect estimates. The studies were assessed for overall quality and risk of bias using standard criteria. The pollutant most frequently associated with statistically significant effects on TB outcomes was fine particulate matter ( &lt; 2.5 µm; PM2.5); 6/11 studies assessed PM2.5, of which 4/6 demonstrated a significant association). There was some evidence of significant associations between PM10 ( &lt; 10 µm), nitrogen dioxide (NO2) and sulfur dioxide (SO2) and TB outcomes, but these associations were inconsistent. The existing epidemiological evidence is limited and shows mixed results. However, it is plausible that exposure to air pollutants, particularly PM2.5, may suppress important immune defence mechanisms, increasing an individual's susceptibility to development of active TB and TB-related mortality. Considering the small number of studies relative to the demonstrably large global health burdens of air pollution and TB, further research is required to corroborate the findings in the current literature. Based on a critical assessment of existing evidence, we conclude with methodological suggestions for future studies.","container-title":"Environmental Research","DOI":"10.1016/j.envres.2018.12.011","ISSN":"0013-9351","journalAbbreviation":"Environmental Research","language":"en","page":"33-45","source":"ScienceDirect","title":"A systematic literature review and critical appraisal of epidemiological studies on outdoor air pollution and tuberculosis outcomes","volume":"170","author":[{"family":"Popovic","given":"Igor"},{"family":"Soares Magalhaes","given":"Ricardo J."},{"family":"Ge","given":"Erjia"},{"family":"Marks","given":"Guy B."},{"family":"Dong","given":"Guang-Hui"},{"family":"Wei","given":"Xiaolin"},{"family":"Knibbs","given":"Luke D."}],"issued":{"date-parts":[["2019",3,1]]}}}],"schema":"https://github.com/citation-style-language/schema/raw/master/csl-citation.json"} </w:instrText>
      </w:r>
      <w:r w:rsidR="000943B4">
        <w:rPr>
          <w:iCs/>
          <w:sz w:val="22"/>
          <w:szCs w:val="22"/>
        </w:rPr>
        <w:fldChar w:fldCharType="separate"/>
      </w:r>
      <w:r w:rsidR="000943B4" w:rsidRPr="0056733F">
        <w:rPr>
          <w:iCs/>
          <w:noProof/>
          <w:sz w:val="22"/>
          <w:szCs w:val="22"/>
        </w:rPr>
        <w:t>[4]</w:t>
      </w:r>
      <w:r w:rsidR="000943B4">
        <w:rPr>
          <w:iCs/>
          <w:sz w:val="22"/>
          <w:szCs w:val="22"/>
        </w:rPr>
        <w:fldChar w:fldCharType="end"/>
      </w:r>
      <w:r w:rsidR="00BB6835">
        <w:rPr>
          <w:iCs/>
          <w:sz w:val="22"/>
          <w:szCs w:val="22"/>
        </w:rPr>
        <w:t xml:space="preserve">.  </w:t>
      </w:r>
      <w:r w:rsidR="002F392F">
        <w:rPr>
          <w:iCs/>
          <w:sz w:val="22"/>
          <w:szCs w:val="22"/>
        </w:rPr>
        <w:t xml:space="preserve"> </w:t>
      </w:r>
    </w:p>
    <w:p w14:paraId="0E9B67C7" w14:textId="77777777" w:rsidR="009151AD" w:rsidRDefault="009151AD" w:rsidP="007719C5">
      <w:pPr>
        <w:spacing w:line="480" w:lineRule="auto"/>
        <w:rPr>
          <w:iCs/>
          <w:sz w:val="22"/>
          <w:szCs w:val="22"/>
        </w:rPr>
      </w:pPr>
    </w:p>
    <w:p w14:paraId="76DBB196" w14:textId="6DC58048" w:rsidR="00225D77" w:rsidRPr="002E7EEE" w:rsidRDefault="00225D77" w:rsidP="007719C5">
      <w:pPr>
        <w:spacing w:line="480" w:lineRule="auto"/>
        <w:rPr>
          <w:sz w:val="22"/>
          <w:szCs w:val="22"/>
        </w:rPr>
      </w:pPr>
      <w:r>
        <w:rPr>
          <w:iCs/>
          <w:sz w:val="22"/>
          <w:szCs w:val="22"/>
        </w:rPr>
        <w:t xml:space="preserve">While a number of </w:t>
      </w:r>
      <w:r w:rsidR="000943B4">
        <w:rPr>
          <w:iCs/>
          <w:sz w:val="22"/>
          <w:szCs w:val="22"/>
        </w:rPr>
        <w:t xml:space="preserve"> studies have examined the associations between air pollution and infection</w:t>
      </w:r>
      <w:r w:rsidR="00CF4F4F">
        <w:rPr>
          <w:iCs/>
          <w:sz w:val="22"/>
          <w:szCs w:val="22"/>
        </w:rPr>
        <w:t>s</w:t>
      </w:r>
      <w:r w:rsidR="000943B4">
        <w:rPr>
          <w:iCs/>
          <w:sz w:val="22"/>
          <w:szCs w:val="22"/>
        </w:rPr>
        <w:t xml:space="preserve"> with TB and transmissions</w:t>
      </w:r>
      <w:r w:rsidR="00D409E6">
        <w:rPr>
          <w:iCs/>
          <w:sz w:val="22"/>
          <w:szCs w:val="22"/>
        </w:rPr>
        <w:t xml:space="preserve"> </w:t>
      </w:r>
      <w:r w:rsidR="00CB4BC0">
        <w:rPr>
          <w:iCs/>
          <w:sz w:val="22"/>
          <w:szCs w:val="22"/>
        </w:rPr>
        <w:fldChar w:fldCharType="begin"/>
      </w:r>
      <w:r w:rsidR="004C78BF">
        <w:rPr>
          <w:iCs/>
          <w:sz w:val="22"/>
          <w:szCs w:val="22"/>
        </w:rPr>
        <w:instrText xml:space="preserve"> ADDIN ZOTERO_ITEM CSL_CITATION {"citationID":"QaUoV7J0","properties":{"formattedCitation":"[5, 6]","plainCitation":"[5, 6]","noteIndex":0},"citationItems":[{"id":245,"uris":["http://zotero.org/users/4920080/items/IHSZ4JXW"],"uri":["http://zotero.org/users/4920080/items/IHSZ4JXW"],"itemData":{"id":245,"type":"article-journal","abstract":"BACKGROUND: Ecologic analyses, case-case comparisons, and animal experiments suggest positive associations between air pollution and tuberculosis.\nOBJECTIVES: We evaluated this hypothesis in a large sample, which yielded results that are applicable to the general population.\nMETHODS: We conducted a case-control study nested within a cohort of Kaiser Permanente of Northern California members. All active pulmonary tuberculosis (TB) cases newly diagnosed between 1996 and 2010 (n = 2,309) were matched to two controls (n = 4,604) by age, sex, and race/ethnicity on the index date corresponding with the case diagnosis date. Average individual-level concentrations of carbon monoxide (CO), nitrogen dioxide (NO2), sulfur dioxide (SO2), ozone (O3), and particulate matter with aerodynamic diameter ≤ 2.5 μm (PM2.5) and 10 μm (PM10) for 2 years before diagnosis/entry into the study were estimated using measurements from the California Air Resources Board monitor closest to the participant's residence.\nRESULTS: In single-pollutant adjusted conditional logistic regression models, the pulmonary TB odds ratios (95% confidence intervals) for the highest quintile (vs. lowest) were 1.50 (95% CI: 1.15, 1.95) for CO and 1.42 (95% CI: 1.10, 1.84) for NO2. Corresponding estimates were higher among never [1.68 (95% CI: 1.26, 2.24)] than ever [1.19 (95% CI: 0.74, 1.92)] smokers for CO. In contrast, for NO2, estimates were higher among ever [1.81 (95% CI: 1.13, 2.91)] than never [1.29 (95% CI: 0.97, 1.71)] smokers. O3 was inversely associated for smokers [0.66 (95% CI: 0.43, 1.02)] and never smokers [0.65 (95% CI: 0.52, 0.81)]. No other consistent patterns were observed.\nCONCLUSIONS: In this first, to our knowledge, U.S. nested case-control study on air pollution and pulmonary TB, we observed positive associations with ambient CO and NO2, which require confirmation.\nCITATION: Smith GS, Van Den Eeden SK, Garcia C, Shan J, Baxter R, Herring AH, Richardson DB, Van Rie A, Emch M, Gammon MD. 2016. Air pollution and pulmonary tuberculosis: a nested case-control study among members of a Northern California health plan. Environ Health Perspect 124:761-768; http://dx.doi.org/10.1289/ehp.1408166.","container-title":"Environmental Health Perspectives","DOI":"10.1289/ehp.1408166","ISSN":"1552-9924","issue":"6","journalAbbreviation":"Environ. Health Perspect.","language":"eng","note":"PMID: 26859438\nPMCID: PMC4892908","page":"761-768","source":"PubMed","title":"Air Pollution and Pulmonary Tuberculosis: A Nested Case-Control Study among Members of a Northern California Health Plan","title-short":"Air Pollution and Pulmonary Tuberculosis","volume":"124","author":[{"family":"Smith","given":"Geneé S."},{"family":"Van Den Eeden","given":"Stephen K."},{"family":"Garcia","given":"Cynthia"},{"family":"Shan","given":"Jun"},{"family":"Baxter","given":"Roger"},{"family":"Herring","given":"Amy H."},{"family":"Richardson","given":"David B."},{"family":"Van Rie","given":"Annelies"},{"family":"Emch","given":"Michael"},{"family":"Gammon","given":"Marilie D."}],"issued":{"date-parts":[["2016"]]}}},{"id":46,"uris":["http://zotero.org/users/4920080/items/KPVKWIMW"],"uri":["http://zotero.org/users/4920080/items/KPVKWIMW"],"itemData":{"id":46,"type":"article-journal","abstract":"Objectives Several respirable hazards, including smoking and indoor air pollution from biomass, were suggested to increase the risk of tuberculosis. Few studies have been conducted on ambient air pollution and tuberculosis. We investigated the association between exposure to ambient air pollution and incidence of active tuberculosis.\nMethods We conducted a cohort study using 106 678 participants of a community-based screening service in Taiwan, 2005–2012. We estimated individual exposure to air pollution using data from the nearest air quality monitoring station and the road intensity within a 500 m buffer zone. The incidence of tuberculosis was ascertained from the national tuberculosis registry.\nResults After a median follow-up of 6.7 years, 418 cases of tuberculosis occurred. Exposure to fine particulate matter (PM2.5) was associated with increased risk of active tuberculosis (adjusted HR: 1.39/10 μg/m3 (95% CI 0.95 to 2.03)). In addition, traffic-related air pollution including nitrogen dioxide (adjusted HR: 1.33/10 ppb; 95% CI 1.04 to 1.70), nitrogen oxides (adjusted HR: 1.21/10 ppb; 95% CI 1.04 to 1.41) and carbon monoxide (adjusted HR: 1.89/ppm; 95% CI 0.78 to 4.58) was associated with tuberculosis risk. There was a non-significant trend between the length of major roads in the neighbourhood and culture-confirmed tuberculosis (adjusted HR: 1.04/km; 95% CI 0.995 to 1.09).\nConclusions Our study revealed a possible link between ambient air pollution and risk of active tuberculosis. Since people from developing countries continue to be exposed to high levels of ambient air pollution and to experience high rates of tuberculosis, the impact of worsening air pollution on global tuberculosis control warrants further investigation.","container-title":"Occupational and Environmental Medicine","DOI":"10.1136/oemed-2015-102995","ISSN":"1351-0711, 1470-7926","issue":"1","journalAbbreviation":"Occup Environ Med","language":"en","note":"publisher: BMJ Publishing Group Ltd\nsection: Environment\nPMID: 26514394","page":"56-61","source":"oem.bmj.com","title":"Ambient air pollution and risk of tuberculosis: a cohort study","title-short":"Ambient air pollution and risk of tuberculosis","volume":"73","author":[{"family":"Lai","given":"Ting-Chun"},{"family":"Chiang","given":"Chen-Yuan"},{"family":"Wu","given":"Chang-Fu"},{"family":"Yang","given":"Shiang-Lin"},{"family":"Liu","given":"Ding-Ping"},{"family":"Chan","given":"Chang-Chuan"},{"family":"Lin","given":"Hsien-Ho"}],"issued":{"date-parts":[["2016",1,1]]}}}],"schema":"https://github.com/citation-style-language/schema/raw/master/csl-citation.json"} </w:instrText>
      </w:r>
      <w:r w:rsidR="00CB4BC0">
        <w:rPr>
          <w:iCs/>
          <w:sz w:val="22"/>
          <w:szCs w:val="22"/>
        </w:rPr>
        <w:fldChar w:fldCharType="separate"/>
      </w:r>
      <w:r w:rsidR="004C78BF">
        <w:rPr>
          <w:iCs/>
          <w:noProof/>
          <w:sz w:val="22"/>
          <w:szCs w:val="22"/>
        </w:rPr>
        <w:t>[5, 6]</w:t>
      </w:r>
      <w:r w:rsidR="00CB4BC0">
        <w:rPr>
          <w:iCs/>
          <w:sz w:val="22"/>
          <w:szCs w:val="22"/>
        </w:rPr>
        <w:fldChar w:fldCharType="end"/>
      </w:r>
      <w:r w:rsidR="00133EC7">
        <w:rPr>
          <w:iCs/>
          <w:sz w:val="22"/>
          <w:szCs w:val="22"/>
        </w:rPr>
        <w:t xml:space="preserve">, </w:t>
      </w:r>
      <w:r w:rsidR="000943B4">
        <w:rPr>
          <w:iCs/>
          <w:sz w:val="22"/>
          <w:szCs w:val="22"/>
        </w:rPr>
        <w:t xml:space="preserve">few have investigated the impacts of </w:t>
      </w:r>
      <w:r w:rsidR="004227F1">
        <w:rPr>
          <w:iCs/>
          <w:sz w:val="22"/>
          <w:szCs w:val="22"/>
        </w:rPr>
        <w:t>PM</w:t>
      </w:r>
      <w:r w:rsidR="004227F1" w:rsidRPr="004227F1">
        <w:rPr>
          <w:iCs/>
          <w:sz w:val="22"/>
          <w:szCs w:val="22"/>
          <w:vertAlign w:val="subscript"/>
        </w:rPr>
        <w:t>2.5</w:t>
      </w:r>
      <w:r w:rsidR="00133EC7">
        <w:rPr>
          <w:iCs/>
          <w:sz w:val="22"/>
          <w:szCs w:val="22"/>
        </w:rPr>
        <w:t xml:space="preserve"> </w:t>
      </w:r>
      <w:r w:rsidR="00B231AB">
        <w:rPr>
          <w:iCs/>
          <w:sz w:val="22"/>
          <w:szCs w:val="22"/>
        </w:rPr>
        <w:t>exposure on</w:t>
      </w:r>
      <w:r w:rsidR="000943B4">
        <w:rPr>
          <w:iCs/>
          <w:sz w:val="22"/>
          <w:szCs w:val="22"/>
        </w:rPr>
        <w:t xml:space="preserve"> mortality after TB</w:t>
      </w:r>
      <w:r w:rsidR="000749A3">
        <w:rPr>
          <w:iCs/>
          <w:sz w:val="22"/>
          <w:szCs w:val="22"/>
        </w:rPr>
        <w:t xml:space="preserve"> </w:t>
      </w:r>
      <w:r w:rsidR="000749A3">
        <w:rPr>
          <w:rFonts w:hint="eastAsia"/>
          <w:iCs/>
          <w:sz w:val="22"/>
          <w:szCs w:val="22"/>
        </w:rPr>
        <w:t>infections</w:t>
      </w:r>
      <w:r w:rsidR="000943B4">
        <w:rPr>
          <w:iCs/>
          <w:sz w:val="22"/>
          <w:szCs w:val="22"/>
        </w:rPr>
        <w:t>. Furthermore, fewer have examined the impacts on multidrug</w:t>
      </w:r>
      <w:r w:rsidR="00E21216">
        <w:rPr>
          <w:iCs/>
          <w:sz w:val="22"/>
          <w:szCs w:val="22"/>
        </w:rPr>
        <w:t>-</w:t>
      </w:r>
      <w:r w:rsidR="000943B4">
        <w:rPr>
          <w:iCs/>
          <w:sz w:val="22"/>
          <w:szCs w:val="22"/>
        </w:rPr>
        <w:t>resistant</w:t>
      </w:r>
      <w:r>
        <w:rPr>
          <w:iCs/>
          <w:sz w:val="22"/>
          <w:szCs w:val="22"/>
        </w:rPr>
        <w:t xml:space="preserve"> tuberculosis (MDR-TB), </w:t>
      </w:r>
      <w:r w:rsidR="000D14F0">
        <w:rPr>
          <w:iCs/>
          <w:sz w:val="22"/>
          <w:szCs w:val="22"/>
        </w:rPr>
        <w:t>a serious form of TB caused by bacteria that do not respon</w:t>
      </w:r>
      <w:r w:rsidR="00043F56">
        <w:rPr>
          <w:iCs/>
          <w:sz w:val="22"/>
          <w:szCs w:val="22"/>
        </w:rPr>
        <w:t>d</w:t>
      </w:r>
      <w:r w:rsidR="000D14F0">
        <w:rPr>
          <w:iCs/>
          <w:sz w:val="22"/>
          <w:szCs w:val="22"/>
        </w:rPr>
        <w:t xml:space="preserve"> to isoniazid </w:t>
      </w:r>
      <w:r w:rsidR="00540146">
        <w:rPr>
          <w:iCs/>
          <w:sz w:val="22"/>
          <w:szCs w:val="22"/>
        </w:rPr>
        <w:t xml:space="preserve">(INH) </w:t>
      </w:r>
      <w:r w:rsidR="000D14F0">
        <w:rPr>
          <w:iCs/>
          <w:sz w:val="22"/>
          <w:szCs w:val="22"/>
        </w:rPr>
        <w:t>and rifampicin</w:t>
      </w:r>
      <w:r w:rsidR="00540146">
        <w:rPr>
          <w:iCs/>
          <w:sz w:val="22"/>
          <w:szCs w:val="22"/>
        </w:rPr>
        <w:t xml:space="preserve"> (RMP)</w:t>
      </w:r>
      <w:r w:rsidR="000D14F0">
        <w:rPr>
          <w:iCs/>
          <w:sz w:val="22"/>
          <w:szCs w:val="22"/>
        </w:rPr>
        <w:t xml:space="preserve">, the two most powerful first-line anti-TB drugs. </w:t>
      </w:r>
      <w:r w:rsidR="00DE2C84">
        <w:rPr>
          <w:iCs/>
          <w:sz w:val="22"/>
          <w:szCs w:val="22"/>
        </w:rPr>
        <w:t>O</w:t>
      </w:r>
      <w:r>
        <w:rPr>
          <w:iCs/>
          <w:sz w:val="22"/>
          <w:szCs w:val="22"/>
        </w:rPr>
        <w:t xml:space="preserve">ne </w:t>
      </w:r>
      <w:r w:rsidR="00DE2C84">
        <w:rPr>
          <w:iCs/>
          <w:sz w:val="22"/>
          <w:szCs w:val="22"/>
        </w:rPr>
        <w:t xml:space="preserve">previous </w:t>
      </w:r>
      <w:r>
        <w:rPr>
          <w:iCs/>
          <w:sz w:val="22"/>
          <w:szCs w:val="22"/>
        </w:rPr>
        <w:t xml:space="preserve">study on a small Chinese cohort of 752 patients reported the association between air pollution and drug-resistant TB development </w:t>
      </w:r>
      <w:r w:rsidR="007532AD">
        <w:rPr>
          <w:iCs/>
          <w:sz w:val="22"/>
          <w:szCs w:val="22"/>
        </w:rPr>
        <w:fldChar w:fldCharType="begin"/>
      </w:r>
      <w:r w:rsidR="004C78BF">
        <w:rPr>
          <w:iCs/>
          <w:sz w:val="22"/>
          <w:szCs w:val="22"/>
        </w:rPr>
        <w:instrText xml:space="preserve"> ADDIN ZOTERO_ITEM CSL_CITATION {"citationID":"YDW0MRjz","properties":{"formattedCitation":"[7]","plainCitation":"[7]","noteIndex":0},"citationItems":[{"id":252,"uris":["http://zotero.org/users/4920080/items/YAFVRDHK"],"uri":["http://zotero.org/users/4920080/items/YAFVRDHK"],"itemData":{"id":252,"type":"article-journal","abstract":"Background\nFew epidemiological studies have explored the effects of air pollution on the risk of drug-resistant tuberculosis (DR-TB).\nObjective\nTo investigate the short and long term residential concentrations of ambient air pollutants (particulate matter &lt;10 μm in diameter (PM10) and particulate matter≤2.5 μm in diameter (PM2.5), nitrogen dioxide (NO2), sulfur dioxide (SO2), ozone (O3), and carbon monoxide (CO)) in relation to the risk of DR-TB in a typical air pollution city, Jinan city, China.\nMethods\nA total of 752 new culture-confirmed TB cases reported in TB prevention and control institutions of Jinan from January 1, 2014 to December 31, 2015 were included. Average individual-level concentrations of air pollution for 5 different exposure windows, vary from 90 days to 720 days to diagnosis were estimated using measurements from monitor closest to the patient home addresses. Logistic regression model adjusted for potential confounders was employed to evaluate correlation between air pollution and DR-TB risk at different five exposure windows individually.\nResults\nThere were substantially increased mono-drug resistance and poly-drug resistance risks for ambient PM2.5, PM10, O3, and CO exposures. High exposure to PM2.5, PM10, and CO was also significantly associated with increased incidence of multi-drug resistance (MDR) both in the single- and multi-pollutants regression models. The dominant positive associations for PM2.5was observed at 540 days exposure, for O3 was observed at 180 days exposure, and for PM10 and CO was observed from 90 days to 540 days exposures.\nConclusions\nOur finding suggest that exposure to ambient air pollution (PM2.5, PM10, O3, and CO) are associated with increased risk of DR-TB. We provided epidemiological evidence of association between pollution exposure and mono-, poly- and multi-drug resistance.","container-title":"Environment International","DOI":"10.1016/j.envint.2019.01.013","ISSN":"0160-4120","journalAbbreviation":"Environment International","language":"en","page":"161-169","source":"ScienceDirect","title":"Ambient air pollution exposures and risk of drug-resistant tuberculosis","volume":"124","author":[{"family":"Yao","given":"Liu"},{"family":"LiangLiang","given":"Cui"},{"family":"JinYue","given":"Liu"},{"family":"WanMei","given":"Song"},{"family":"Lili","given":"Su"},{"family":"YiFan","given":"Li"},{"family":"HuaiChen","given":"Li"}],"issued":{"date-parts":[["2019",3,1]]}}}],"schema":"https://github.com/citation-style-language/schema/raw/master/csl-citation.json"} </w:instrText>
      </w:r>
      <w:r w:rsidR="007532AD">
        <w:rPr>
          <w:iCs/>
          <w:sz w:val="22"/>
          <w:szCs w:val="22"/>
        </w:rPr>
        <w:fldChar w:fldCharType="separate"/>
      </w:r>
      <w:r w:rsidR="004C78BF">
        <w:rPr>
          <w:iCs/>
          <w:noProof/>
          <w:sz w:val="22"/>
          <w:szCs w:val="22"/>
        </w:rPr>
        <w:t>[7]</w:t>
      </w:r>
      <w:r w:rsidR="007532AD">
        <w:rPr>
          <w:iCs/>
          <w:sz w:val="22"/>
          <w:szCs w:val="22"/>
        </w:rPr>
        <w:fldChar w:fldCharType="end"/>
      </w:r>
      <w:r w:rsidR="007532AD">
        <w:rPr>
          <w:iCs/>
          <w:sz w:val="22"/>
          <w:szCs w:val="22"/>
        </w:rPr>
        <w:t xml:space="preserve">. </w:t>
      </w:r>
      <w:r>
        <w:rPr>
          <w:iCs/>
          <w:sz w:val="22"/>
          <w:szCs w:val="22"/>
        </w:rPr>
        <w:t xml:space="preserve">However, it </w:t>
      </w:r>
      <w:r w:rsidR="00C23CC5">
        <w:rPr>
          <w:iCs/>
          <w:sz w:val="22"/>
          <w:szCs w:val="22"/>
        </w:rPr>
        <w:t>has been</w:t>
      </w:r>
      <w:r>
        <w:rPr>
          <w:iCs/>
          <w:sz w:val="22"/>
          <w:szCs w:val="22"/>
        </w:rPr>
        <w:t xml:space="preserve"> noted that the impact of air pollution </w:t>
      </w:r>
      <w:r w:rsidR="00C23CC5">
        <w:rPr>
          <w:iCs/>
          <w:sz w:val="22"/>
          <w:szCs w:val="22"/>
        </w:rPr>
        <w:t>may be</w:t>
      </w:r>
      <w:r>
        <w:rPr>
          <w:iCs/>
          <w:sz w:val="22"/>
          <w:szCs w:val="22"/>
        </w:rPr>
        <w:t xml:space="preserve"> overstated if greenness</w:t>
      </w:r>
      <w:r w:rsidR="008331A3">
        <w:rPr>
          <w:iCs/>
          <w:sz w:val="22"/>
          <w:szCs w:val="22"/>
        </w:rPr>
        <w:t xml:space="preserve">, which is generally thought to </w:t>
      </w:r>
      <w:r w:rsidR="00132DBE">
        <w:rPr>
          <w:iCs/>
          <w:sz w:val="22"/>
          <w:szCs w:val="22"/>
        </w:rPr>
        <w:t>affect health through multiple mechanisms</w:t>
      </w:r>
      <w:r w:rsidR="00D26B13">
        <w:rPr>
          <w:iCs/>
          <w:sz w:val="22"/>
          <w:szCs w:val="22"/>
        </w:rPr>
        <w:t>,</w:t>
      </w:r>
      <w:r w:rsidR="00132DBE">
        <w:rPr>
          <w:iCs/>
          <w:sz w:val="22"/>
          <w:szCs w:val="22"/>
        </w:rPr>
        <w:t xml:space="preserve"> such</w:t>
      </w:r>
      <w:r w:rsidR="00F26EA4">
        <w:rPr>
          <w:iCs/>
          <w:sz w:val="22"/>
          <w:szCs w:val="22"/>
        </w:rPr>
        <w:t xml:space="preserve"> as</w:t>
      </w:r>
      <w:r w:rsidR="00132DBE">
        <w:rPr>
          <w:iCs/>
          <w:sz w:val="22"/>
          <w:szCs w:val="22"/>
        </w:rPr>
        <w:t xml:space="preserve"> mitigating exposures to air pollution, cooling weather, and reducing </w:t>
      </w:r>
      <w:r w:rsidR="002E7EEE">
        <w:rPr>
          <w:iCs/>
          <w:sz w:val="22"/>
          <w:szCs w:val="22"/>
        </w:rPr>
        <w:t xml:space="preserve">mental and psychologic stress </w:t>
      </w:r>
      <w:r w:rsidR="00752413">
        <w:rPr>
          <w:iCs/>
          <w:sz w:val="22"/>
          <w:szCs w:val="22"/>
        </w:rPr>
        <w:fldChar w:fldCharType="begin"/>
      </w:r>
      <w:r w:rsidR="004C78BF">
        <w:rPr>
          <w:iCs/>
          <w:sz w:val="22"/>
          <w:szCs w:val="22"/>
        </w:rPr>
        <w:instrText xml:space="preserve"> ADDIN ZOTERO_ITEM CSL_CITATION {"citationID":"fLKghdSN","properties":{"formattedCitation":"[8]","plainCitation":"[8]","noteIndex":0},"citationItems":[{"id":320,"uris":["http://zotero.org/users/4920080/items/4BRPGJP6"],"uri":["http://zotero.org/users/4920080/items/4BRPGJP6"],"itemData":{"id":320,"type":"article-journal","abstract":"BACKGROUND: In a rapidly urbanizing world, many people have little contact with natural environments, which may affect health and well-being. Existing reviews generally conclude that residential greenspace is beneficial to health. However, the processes generating these benefits and how they can be best promoted remain unclear.\nOBJECTIVES: During an Expert Workshop held in September 2016, the evidence linking greenspace and health was reviewed from a transdisciplinary standpoint, with a particular focus on potential underlying biopsychosocial pathways and how these can be explored and organized to support policy-relevant population health research.\nDISCUSSIONS: Potential pathways linking greenspace to health are here presented in three domains, which emphasize three general functions of greenspace: reducing harm (e.g. reducing exposure to air pollution, noise and heat), restoring capacities (e.g. attention restoration and physiological stress recovery) and building capacities (e.g. encouraging physical activity and facilitating social cohesion). Interrelations between among the three domains are also noted. Among several recommendations, future studies should: use greenspace and behavioural measures that are relevant to hypothesized pathways; include assessment of presence, access and use of greenspace; use longitudinal, interventional and (quasi)experimental study designs to assess causation; and include low and middle income countries given their absence in the existing literature. Cultural, climatic, geographic and other contextual factors also need further consideration.\nCONCLUSIONS: While the existing evidence affirms beneficial impacts of greenspace on health, much remains to be learned about the specific pathways and functional form of such relationships, and how these may vary by context, population groups and health outcomes. This Report provides guidance for further epidemiological research with the goal of creating new evidence upon which to develop policy recommendations.","container-title":"Environmental Research","DOI":"10.1016/j.envres.2017.06.028","ISSN":"1096-0953","journalAbbreviation":"Environ. Res.","language":"eng","note":"PMID: 28672128","page":"301-317","source":"PubMed","title":"Exploring pathways linking greenspace to health: Theoretical and methodological guidance","title-short":"Exploring pathways linking greenspace to health","volume":"158","author":[{"family":"Markevych","given":"Iana"},{"family":"Schoierer","given":"Julia"},{"family":"Hartig","given":"Terry"},{"family":"Chudnovsky","given":"Alexandra"},{"family":"Hystad","given":"Perry"},{"family":"Dzhambov","given":"Angel M."},{"family":"Vries","given":"Sjerp","non-dropping-particle":"de"},{"family":"Triguero-Mas","given":"Margarita"},{"family":"Brauer","given":"Michael"},{"family":"Nieuwenhuijsen","given":"Mark J."},{"family":"Lupp","given":"Gerd"},{"family":"Richardson","given":"Elizabeth A."},{"family":"Astell-Burt","given":"Thomas"},{"family":"Dimitrova","given":"Donka"},{"family":"Feng","given":"Xiaoqi"},{"family":"Sadeh","given":"Maya"},{"family":"Standl","given":"Marie"},{"family":"Heinrich","given":"Joachim"},{"family":"Fuertes","given":"Elaine"}],"issued":{"date-parts":[["2017"]]}}}],"schema":"https://github.com/citation-style-language/schema/raw/master/csl-citation.json"} </w:instrText>
      </w:r>
      <w:r w:rsidR="00752413">
        <w:rPr>
          <w:iCs/>
          <w:sz w:val="22"/>
          <w:szCs w:val="22"/>
        </w:rPr>
        <w:fldChar w:fldCharType="separate"/>
      </w:r>
      <w:r w:rsidR="004C78BF">
        <w:rPr>
          <w:iCs/>
          <w:noProof/>
          <w:sz w:val="22"/>
          <w:szCs w:val="22"/>
        </w:rPr>
        <w:t>[8]</w:t>
      </w:r>
      <w:r w:rsidR="00752413">
        <w:rPr>
          <w:iCs/>
          <w:sz w:val="22"/>
          <w:szCs w:val="22"/>
        </w:rPr>
        <w:fldChar w:fldCharType="end"/>
      </w:r>
      <w:r w:rsidR="002E7EEE">
        <w:rPr>
          <w:iCs/>
          <w:sz w:val="22"/>
          <w:szCs w:val="22"/>
        </w:rPr>
        <w:t xml:space="preserve">, </w:t>
      </w:r>
      <w:r>
        <w:rPr>
          <w:iCs/>
          <w:sz w:val="22"/>
          <w:szCs w:val="22"/>
        </w:rPr>
        <w:t xml:space="preserve">was not taken into account </w:t>
      </w:r>
      <w:r w:rsidR="001F5064">
        <w:rPr>
          <w:sz w:val="22"/>
          <w:szCs w:val="22"/>
        </w:rPr>
        <w:fldChar w:fldCharType="begin"/>
      </w:r>
      <w:r w:rsidR="004C78BF">
        <w:rPr>
          <w:sz w:val="22"/>
          <w:szCs w:val="22"/>
        </w:rPr>
        <w:instrText xml:space="preserve"> ADDIN ZOTERO_ITEM CSL_CITATION {"citationID":"TWK5gDFk","properties":{"formattedCitation":"[9, 10]","plainCitation":"[9, 10]","noteIndex":0},"citationItems":[{"id":"u3aZZJWI/kzLZqqDA","uris":["http://zotero.org/users/4920080/items/JYLIHYRF"],"uri":["http://zotero.org/users/4920080/items/JYLIHYRF"],"itemData":{"id":955,"type":"article-journal","abstract":"Background\nEpidemiological studies have consistently demonstrated that exposure to fine particulate matter (PM2.5) is associated with increased risks of mortality. To a lesser extent, a series of studies suggest that living in greener areas is associated with reduced risks of mortality. Only a handful of studies have examined the interplay between PM2.5, greenness, and mortality.\nMethods\nWe investigated the role of residential greenness in modifying associations between long-term exposures to PM2.5 and non-accidental and cardiovascular mortality in a national cohort of non-immigrant Canadian adults (i.e., the 2001 Canadian Census Health and Environment Cohort). Specifically, we examined associations between satellite-derived estimates of PM2.5 exposure and mortality across quintiles of greenness measured within 500 m of individual's place of residence during 11 years of follow-up. We adjusted our survival models for many personal and contextual measures of socioeconomic position, and residential mobility data allowed us to characterize annual changes in exposures.\nResults\nOur cohort included approximately 2.4 million individuals at baseline, 194,270 of whom died from non-accidental causes during follow-up. Adjustment for greenness attenuated the association between PM2.5 and mortality (e.g., hazard ratios (HRs) and 95% confidence intervals (CIs) per interquartile range increase in PM2.5 in models for non-accidental mortality decreased from 1.065 (95% CI: 1.056–1.075) to 1.041 (95% CI: 1.031–1.050)). The strength of observed associations between PM2.5 and mortality decreased as greenness increased. This pattern persisted in models restricted to urban residents, in models that considered the combined oxidant capacity of ozone and nitrogen dioxide, and within neighbourhoods characterised by high or low deprivation. We found no increased risk of mortality associated with PM2.5 among those living in the greenest areas. For example, the HR for cardiovascular mortality among individuals in the least green areas was 1.17 (95% CI: 1.12–1.23) compared to 1.01 (95% CI: 0.97–1.06) among those in the greenest areas.\nConclusions\nStudies that do not account for greenness may overstate the air pollution impacts on mortality. Residents in deprived neighbourhoods with high greenness benefitted by having more attenuated associations between PM2.5 and mortality than those living in deprived areas with less greenness. The findings from this study extend our understanding of how living in greener areas may lead to improved health outcomes.","container-title":"Environment International","DOI":"10.1016/j.envint.2019.04.047","ISSN":"0160-4120","journalAbbreviation":"Environment International","language":"en","page":"292-300","source":"ScienceDirect","title":"Complex relationships between greenness, air pollution, and mortality in a population-based Canadian cohort","volume":"128","author":[{"family":"Crouse","given":"Dan L."},{"family":"Pinault","given":"Lauren"},{"family":"Balram","given":"Adele"},{"family":"Brauer","given":"Michael"},{"family":"Burnett","given":"Richard T."},{"family":"Martin","given":"Randall V."},{"family":"Donkelaar","given":"Aaron","non-dropping-particle":"van"},{"family":"Villeneuve","given":"Paul J."},{"family":"Weichenthal","given":"Scott"}],"issued":{"date-parts":[["2019",7,1]]}}},{"id":10,"uris":["http://zotero.org/users/4920080/items/66B7HVYV"],"uri":["http://zotero.org/users/4920080/items/66B7HVYV"],"itemData":{"id":10,"type":"article-journal","abstract":"&lt;h2&gt;Summary&lt;/h2&gt;&lt;h3&gt;Background&lt;/h3&gt;&lt;p&gt;Both air pollution and green space have been shown to affect health. We aimed to assess whether greenness protects against air pollution-related mortality.&lt;/p&gt;&lt;h3&gt;Methods&lt;/h3&gt;&lt;p&gt;We used data from the 2008 wave of the Chinese Longitudinal Healthy Longevity Survey. We calculated contemporaneous normalised difference vegetation index (NDVI) in the 500 m radius around each participant's residence. Fine particulate matter (PM&lt;sub&gt;2·5&lt;/sub&gt;) concentration was calculated using 3-year average concentrations in 1 km × 1 km grid resolution. We used Cox proportional hazards models to estimate the effects of NDVI, PM&lt;sub&gt;2·5&lt;/sub&gt;, and their interaction on all-cause mortality, adjusted for a range of covariates.&lt;/p&gt;&lt;h3&gt;Findings&lt;/h3&gt;&lt;p&gt;The cohort contained 12 873 participants, totalling 47 884 person-years. There were 7426 deaths between 2008 and 2014. The mean contemporaneous NDVI was 0·42 (SD 0·21), and the mean 3-year average PM&lt;sub&gt;2·5&lt;/sub&gt; was 49·63 μg/m&lt;sup&gt;3&lt;/sup&gt; (13·72). In the fully adjusted model, the mortality hazard ratio for each 0·1-unit decrease in contemporaneous NDVI was 1·08 (95% CI 1·03–1·13), each 10 μg/m&lt;sup&gt;3&lt;/sup&gt; increase in PM&lt;sub&gt;2·5&lt;/sub&gt; was 1·13 (1·09–1·18), and the interaction term was 1·01 (1·00–1·02) with a p value of 0·027. We observed non-linear associations in our stratified analyses: people living in urban areas were more likely to benefit from greenness, and people living in rural areas were more likely to be harmed by air pollution.&lt;/p&gt;&lt;h3&gt;Interpretation&lt;/h3&gt;&lt;p&gt;Our study showed some indication of a synergistic effect of greenness and air pollution, suggesting that green space planning and air pollution control can jointly improve public health.&lt;/p&gt;&lt;h3&gt;Funding&lt;/h3&gt;&lt;p&gt;Bill &amp; Melinda Gates Foundation, National Institutes of Health, National Key R&amp;D Program of China, National Natural Science Foundation of China.&lt;/p&gt;","container-title":"The Lancet Planetary Health","DOI":"10.1016/S2542-5196(20)30027-9","ISSN":"2542-5196","issue":"3","journalAbbreviation":"The Lancet Planetary Health","language":"English","note":"publisher: Elsevier\nPMID: 32220672","page":"e107-e115","source":"www.thelancet.com","title":"Interaction between residential greenness and air pollution mortality: analysis of the Chinese Longitudinal Healthy Longevity Survey","title-short":"Interaction between residential greenness and air pollution mortality","volume":"4","author":[{"family":"Ji","given":"John S."},{"family":"Zhu","given":"Anna"},{"family":"Lv","given":"Yuebin"},{"family":"Shi","given":"Xiaoming"}],"issued":{"date-parts":[["2020",3,1]]}}}],"schema":"https://github.com/citation-style-language/schema/raw/master/csl-citation.json"} </w:instrText>
      </w:r>
      <w:r w:rsidR="001F5064">
        <w:rPr>
          <w:sz w:val="22"/>
          <w:szCs w:val="22"/>
        </w:rPr>
        <w:fldChar w:fldCharType="separate"/>
      </w:r>
      <w:r w:rsidR="004C78BF">
        <w:rPr>
          <w:noProof/>
          <w:sz w:val="22"/>
          <w:szCs w:val="22"/>
        </w:rPr>
        <w:t>[9, 10]</w:t>
      </w:r>
      <w:r w:rsidR="001F5064">
        <w:rPr>
          <w:sz w:val="22"/>
          <w:szCs w:val="22"/>
        </w:rPr>
        <w:fldChar w:fldCharType="end"/>
      </w:r>
      <w:r w:rsidR="001F5064">
        <w:rPr>
          <w:sz w:val="22"/>
          <w:szCs w:val="22"/>
        </w:rPr>
        <w:t xml:space="preserve">. </w:t>
      </w:r>
      <w:r w:rsidR="00E458D8">
        <w:rPr>
          <w:sz w:val="22"/>
          <w:szCs w:val="22"/>
        </w:rPr>
        <w:t xml:space="preserve">Thus, a gap in evidence exists on current studies of how greenness may modify the impact of air pollution on mortality after getting MDR-TB.  </w:t>
      </w:r>
    </w:p>
    <w:p w14:paraId="7508F335" w14:textId="77777777" w:rsidR="00E458D8" w:rsidRDefault="00E458D8" w:rsidP="007719C5">
      <w:pPr>
        <w:spacing w:line="480" w:lineRule="auto"/>
        <w:rPr>
          <w:iCs/>
          <w:sz w:val="22"/>
          <w:szCs w:val="22"/>
        </w:rPr>
      </w:pPr>
    </w:p>
    <w:p w14:paraId="5B604C61" w14:textId="3E591370" w:rsidR="005E4002" w:rsidRDefault="00E458D8" w:rsidP="007719C5">
      <w:pPr>
        <w:spacing w:line="480" w:lineRule="auto"/>
        <w:rPr>
          <w:sz w:val="22"/>
          <w:szCs w:val="22"/>
        </w:rPr>
      </w:pPr>
      <w:r>
        <w:rPr>
          <w:sz w:val="22"/>
          <w:szCs w:val="22"/>
        </w:rPr>
        <w:t>We aim to examine the role of residential greenness in modifying the association between chronic PM</w:t>
      </w:r>
      <w:r w:rsidRPr="00E458D8">
        <w:rPr>
          <w:sz w:val="22"/>
          <w:szCs w:val="22"/>
          <w:vertAlign w:val="subscript"/>
        </w:rPr>
        <w:t>2.5</w:t>
      </w:r>
      <w:r>
        <w:rPr>
          <w:sz w:val="22"/>
          <w:szCs w:val="22"/>
        </w:rPr>
        <w:t xml:space="preserve"> exposure and all-cause mortality in a large Chinese MDR-TB cohort across Zhejiang and Ningxia. These two </w:t>
      </w:r>
      <w:r w:rsidR="00530DF8">
        <w:rPr>
          <w:sz w:val="22"/>
          <w:szCs w:val="22"/>
        </w:rPr>
        <w:t>provinces</w:t>
      </w:r>
      <w:r w:rsidR="00530DF8">
        <w:rPr>
          <w:rFonts w:ascii="SimSun" w:eastAsia="SimSun" w:hAnsi="SimSun" w:cs="SimSun"/>
          <w:sz w:val="22"/>
          <w:szCs w:val="22"/>
        </w:rPr>
        <w:t>,</w:t>
      </w:r>
      <w:r w:rsidR="00530DF8">
        <w:rPr>
          <w:sz w:val="22"/>
          <w:szCs w:val="22"/>
        </w:rPr>
        <w:t xml:space="preserve"> representing</w:t>
      </w:r>
      <w:r w:rsidR="00CD7250">
        <w:rPr>
          <w:sz w:val="22"/>
          <w:szCs w:val="22"/>
        </w:rPr>
        <w:t xml:space="preserve"> an affluent southeast and a deprived northwest province, respectively, of </w:t>
      </w:r>
      <w:r w:rsidR="00CD7250">
        <w:rPr>
          <w:sz w:val="22"/>
          <w:szCs w:val="22"/>
        </w:rPr>
        <w:lastRenderedPageBreak/>
        <w:t>China,</w:t>
      </w:r>
      <w:r>
        <w:rPr>
          <w:sz w:val="22"/>
          <w:szCs w:val="22"/>
        </w:rPr>
        <w:t xml:space="preserve"> were involved in the </w:t>
      </w:r>
      <w:r w:rsidR="005854D0">
        <w:rPr>
          <w:sz w:val="22"/>
          <w:szCs w:val="22"/>
        </w:rPr>
        <w:t>National Health Commission of China-</w:t>
      </w:r>
      <w:r w:rsidR="00951B7C">
        <w:rPr>
          <w:sz w:val="22"/>
          <w:szCs w:val="22"/>
        </w:rPr>
        <w:t>Bill and Melinda Gates Foundation</w:t>
      </w:r>
      <w:r w:rsidR="004036B4">
        <w:rPr>
          <w:sz w:val="22"/>
          <w:szCs w:val="22"/>
        </w:rPr>
        <w:t xml:space="preserve"> </w:t>
      </w:r>
      <w:r w:rsidR="00A120B5">
        <w:rPr>
          <w:sz w:val="22"/>
          <w:szCs w:val="22"/>
        </w:rPr>
        <w:t xml:space="preserve">TB </w:t>
      </w:r>
      <w:r w:rsidR="005854D0">
        <w:rPr>
          <w:sz w:val="22"/>
          <w:szCs w:val="22"/>
        </w:rPr>
        <w:t xml:space="preserve">Collaboration </w:t>
      </w:r>
      <w:r w:rsidR="00A120B5">
        <w:rPr>
          <w:sz w:val="22"/>
          <w:szCs w:val="22"/>
        </w:rPr>
        <w:t>project</w:t>
      </w:r>
      <w:r w:rsidR="000E012B">
        <w:rPr>
          <w:sz w:val="22"/>
          <w:szCs w:val="22"/>
        </w:rPr>
        <w:t xml:space="preserve"> </w:t>
      </w:r>
      <w:r w:rsidR="000E012B">
        <w:rPr>
          <w:sz w:val="22"/>
          <w:szCs w:val="22"/>
        </w:rPr>
        <w:fldChar w:fldCharType="begin"/>
      </w:r>
      <w:r w:rsidR="004C78BF">
        <w:rPr>
          <w:sz w:val="22"/>
          <w:szCs w:val="22"/>
        </w:rPr>
        <w:instrText xml:space="preserve"> ADDIN ZOTERO_ITEM CSL_CITATION {"citationID":"8WkXeVyn","properties":{"formattedCitation":"[11]","plainCitation":"[11]","noteIndex":0},"citationItems":[{"id":241,"uris":["http://zotero.org/users/4920080/items/TTGMHKUH"],"uri":["http://zotero.org/users/4920080/items/TTGMHKUH"],"itemData":{"id":241,"type":"webpage","language":"en","note":"source: www.gatesfoundation.org","title":"Chinese Government and Foundation Announce Partnership to Fight Tuberculosis - Bill &amp; Melinda Gates Foundation","URL":"https://www.gatesfoundation.org/Media-Center/Press-Releases/2009/04/Chinese-Government-and-Foundation-Announce-Partnership-to-Fight-Tuberculosis","accessed":{"date-parts":[["2020",6,16]]},"issued":{"date-parts":[["1",1,1]]}}}],"schema":"https://github.com/citation-style-language/schema/raw/master/csl-citation.json"} </w:instrText>
      </w:r>
      <w:r w:rsidR="000E012B">
        <w:rPr>
          <w:sz w:val="22"/>
          <w:szCs w:val="22"/>
        </w:rPr>
        <w:fldChar w:fldCharType="separate"/>
      </w:r>
      <w:r w:rsidR="004C78BF">
        <w:rPr>
          <w:noProof/>
          <w:sz w:val="22"/>
          <w:szCs w:val="22"/>
        </w:rPr>
        <w:t>[11]</w:t>
      </w:r>
      <w:r w:rsidR="000E012B">
        <w:rPr>
          <w:sz w:val="22"/>
          <w:szCs w:val="22"/>
        </w:rPr>
        <w:fldChar w:fldCharType="end"/>
      </w:r>
      <w:r w:rsidR="00A120B5">
        <w:rPr>
          <w:sz w:val="22"/>
          <w:szCs w:val="22"/>
        </w:rPr>
        <w:t xml:space="preserve">, </w:t>
      </w:r>
      <w:r>
        <w:rPr>
          <w:sz w:val="22"/>
          <w:szCs w:val="22"/>
        </w:rPr>
        <w:t xml:space="preserve">which </w:t>
      </w:r>
      <w:r w:rsidR="002C7995">
        <w:rPr>
          <w:sz w:val="22"/>
          <w:szCs w:val="22"/>
        </w:rPr>
        <w:t xml:space="preserve">was </w:t>
      </w:r>
      <w:r>
        <w:rPr>
          <w:sz w:val="22"/>
          <w:szCs w:val="22"/>
        </w:rPr>
        <w:t xml:space="preserve">initiated in 2009 and </w:t>
      </w:r>
      <w:r w:rsidR="002A100A">
        <w:rPr>
          <w:sz w:val="22"/>
          <w:szCs w:val="22"/>
        </w:rPr>
        <w:t>employed</w:t>
      </w:r>
      <w:r>
        <w:rPr>
          <w:sz w:val="22"/>
          <w:szCs w:val="22"/>
        </w:rPr>
        <w:t xml:space="preserve"> innovative </w:t>
      </w:r>
      <w:r w:rsidR="002A100A">
        <w:rPr>
          <w:sz w:val="22"/>
          <w:szCs w:val="22"/>
        </w:rPr>
        <w:t xml:space="preserve">molecular </w:t>
      </w:r>
      <w:r>
        <w:rPr>
          <w:sz w:val="22"/>
          <w:szCs w:val="22"/>
        </w:rPr>
        <w:t xml:space="preserve">tests </w:t>
      </w:r>
      <w:r w:rsidR="00732AA7">
        <w:rPr>
          <w:sz w:val="22"/>
          <w:szCs w:val="22"/>
        </w:rPr>
        <w:t>for</w:t>
      </w:r>
      <w:r w:rsidR="002A100A">
        <w:rPr>
          <w:sz w:val="22"/>
          <w:szCs w:val="22"/>
        </w:rPr>
        <w:t xml:space="preserve"> TB and</w:t>
      </w:r>
      <w:r>
        <w:rPr>
          <w:sz w:val="22"/>
          <w:szCs w:val="22"/>
        </w:rPr>
        <w:t xml:space="preserve"> MDR-TB</w:t>
      </w:r>
      <w:r w:rsidR="002A100A">
        <w:rPr>
          <w:sz w:val="22"/>
          <w:szCs w:val="22"/>
        </w:rPr>
        <w:t>,</w:t>
      </w:r>
      <w:r>
        <w:rPr>
          <w:sz w:val="22"/>
          <w:szCs w:val="22"/>
        </w:rPr>
        <w:t xml:space="preserve"> and</w:t>
      </w:r>
      <w:r w:rsidR="002A100A">
        <w:rPr>
          <w:sz w:val="22"/>
          <w:szCs w:val="22"/>
        </w:rPr>
        <w:t xml:space="preserve"> implemented</w:t>
      </w:r>
      <w:r>
        <w:rPr>
          <w:sz w:val="22"/>
          <w:szCs w:val="22"/>
        </w:rPr>
        <w:t xml:space="preserve"> effective follow-up strategies to delivery and manage </w:t>
      </w:r>
      <w:r w:rsidR="002A100A">
        <w:rPr>
          <w:sz w:val="22"/>
          <w:szCs w:val="22"/>
        </w:rPr>
        <w:t xml:space="preserve">patients </w:t>
      </w:r>
      <w:r w:rsidR="007D7C64">
        <w:rPr>
          <w:sz w:val="22"/>
          <w:szCs w:val="22"/>
        </w:rPr>
        <w:fldChar w:fldCharType="begin"/>
      </w:r>
      <w:r w:rsidR="004C78BF">
        <w:rPr>
          <w:sz w:val="22"/>
          <w:szCs w:val="22"/>
        </w:rPr>
        <w:instrText xml:space="preserve"> ADDIN ZOTERO_ITEM CSL_CITATION {"citationID":"4LCtwUEt","properties":{"formattedCitation":"[12]","plainCitation":"[12]","noteIndex":0},"citationItems":[{"id":242,"uris":["http://zotero.org/users/4920080/items/ZP8Q6GB6"],"uri":["http://zotero.org/users/4920080/items/ZP8Q6GB6"],"itemData":{"id":242,"type":"article-journal","abstract":"&lt;sec&gt;&lt;p&gt;  &lt;b&gt;What is already known about this topic?&lt;/b&gt;  &lt;/p&gt;&lt;/sec&gt;&lt;sec&gt;&lt;p&gt;China’s national health information system provides important support and means for deepening the country’s medical and health reform, for improving relevant delivery services, for enhancing the level of scientific management of health, and for promoting the goal of basic medical and health services for everyone in China.&lt;/p&gt;&lt;/sec&gt;&lt;sec&gt;&lt;p&gt;  &lt;b&gt;What is added by this report?&lt;/b&gt;  &lt;/p&gt; &lt;/sec&gt;&lt;sec&gt;&lt;p&gt;To further the construction of the national health information system, the National Center for Tuberculosis Control and Prevention of China CDC, started a pilot project for a new tuberculosis (TB) integrated health (iHealth) surveillance system, which was integrated with regional health information platforms. The goal was to explore automatic data exchange between hospitals and disease control facilities to reduce the workload of data-entry.&lt;/p&gt;&lt;/sec&gt;&lt;sec&gt;&lt;p&gt;  &lt;b&gt;What are the implications for public health practice?&lt;/b&gt;  &lt;/p&gt; &lt;/sec&gt;&lt;sec&gt;&lt;p&gt;This pilot proved that data sharing and automatic exchanges between different information systems can be achieved through a unified surveillance dataset, which could provide a reference point for the construction of surveillance systems for other infectious diseases or for the entire public health information system.&lt;/p&gt;&lt;/sec&gt;","container-title":"China CDC Weekly","DOI":"10.46234/ccdcw2020.050","ISSN":"2096-7071","issue":"12","journalAbbreviation":"CCDCW","language":"en","note":"publisher: China CDC Weekly","page":"190-193","source":"weekly.chinacdc.cn","title":"Effectiveness of the Integrated TB Surveillance System — China, 2018–2019","volume":"2","author":[{"family":"Wang","given":"Ni"},{"family":"Li","given":"Tao"},{"family":"Du","given":"Xin"},{"family":"Li","given":"You"},{"family":"Sun","given":"Miaomiao"},{"family":"Huan","given":"Shitong"},{"family":"Zhang","given":"Hui"},{"family":"Wang","given":"Lixia"},{"family":"Chen","given":"Mingting"},{"family":"Huang","given":"Fei"},{"family":"Zhao","given":"Yanlin"}],"issued":{"date-parts":[["2020",3,1]]}}}],"schema":"https://github.com/citation-style-language/schema/raw/master/csl-citation.json"} </w:instrText>
      </w:r>
      <w:r w:rsidR="007D7C64">
        <w:rPr>
          <w:sz w:val="22"/>
          <w:szCs w:val="22"/>
        </w:rPr>
        <w:fldChar w:fldCharType="separate"/>
      </w:r>
      <w:r w:rsidR="004C78BF">
        <w:rPr>
          <w:noProof/>
          <w:sz w:val="22"/>
          <w:szCs w:val="22"/>
        </w:rPr>
        <w:t>[12]</w:t>
      </w:r>
      <w:r w:rsidR="007D7C64">
        <w:rPr>
          <w:sz w:val="22"/>
          <w:szCs w:val="22"/>
        </w:rPr>
        <w:fldChar w:fldCharType="end"/>
      </w:r>
      <w:r w:rsidR="007D7C64">
        <w:rPr>
          <w:sz w:val="22"/>
          <w:szCs w:val="22"/>
        </w:rPr>
        <w:t xml:space="preserve">. </w:t>
      </w:r>
      <w:r>
        <w:rPr>
          <w:sz w:val="22"/>
          <w:szCs w:val="22"/>
        </w:rPr>
        <w:t>We present the association</w:t>
      </w:r>
      <w:r w:rsidR="00235E26">
        <w:rPr>
          <w:sz w:val="22"/>
          <w:szCs w:val="22"/>
        </w:rPr>
        <w:t>s</w:t>
      </w:r>
      <w:r w:rsidR="0029179A">
        <w:rPr>
          <w:sz w:val="22"/>
          <w:szCs w:val="22"/>
        </w:rPr>
        <w:t xml:space="preserve"> for the </w:t>
      </w:r>
      <w:r w:rsidR="00FF60E4">
        <w:rPr>
          <w:sz w:val="22"/>
          <w:szCs w:val="22"/>
        </w:rPr>
        <w:t>full cohort and</w:t>
      </w:r>
      <w:r>
        <w:rPr>
          <w:sz w:val="22"/>
          <w:szCs w:val="22"/>
        </w:rPr>
        <w:t xml:space="preserve"> across </w:t>
      </w:r>
      <w:proofErr w:type="spellStart"/>
      <w:r>
        <w:rPr>
          <w:sz w:val="22"/>
          <w:szCs w:val="22"/>
        </w:rPr>
        <w:t>tertile</w:t>
      </w:r>
      <w:r w:rsidR="00C34403">
        <w:rPr>
          <w:sz w:val="22"/>
          <w:szCs w:val="22"/>
        </w:rPr>
        <w:t>s</w:t>
      </w:r>
      <w:proofErr w:type="spellEnd"/>
      <w:r>
        <w:rPr>
          <w:sz w:val="22"/>
          <w:szCs w:val="22"/>
        </w:rPr>
        <w:t xml:space="preserve"> of </w:t>
      </w:r>
      <w:r w:rsidR="005E4002">
        <w:rPr>
          <w:sz w:val="22"/>
          <w:szCs w:val="22"/>
        </w:rPr>
        <w:t>greenness measured within 500 meters around patient’s residence during 11 years of follow-up (2009 to 2019)</w:t>
      </w:r>
      <w:r w:rsidR="001C7F63">
        <w:rPr>
          <w:sz w:val="22"/>
          <w:szCs w:val="22"/>
        </w:rPr>
        <w:t>,</w:t>
      </w:r>
      <w:r w:rsidR="00FF60E4">
        <w:rPr>
          <w:sz w:val="22"/>
          <w:szCs w:val="22"/>
        </w:rPr>
        <w:t xml:space="preserve"> respectively</w:t>
      </w:r>
      <w:r w:rsidR="005E4002">
        <w:rPr>
          <w:sz w:val="22"/>
          <w:szCs w:val="22"/>
        </w:rPr>
        <w:t>. Oxidant capacity (O</w:t>
      </w:r>
      <w:r w:rsidR="005E4002" w:rsidRPr="00EF48D2">
        <w:rPr>
          <w:sz w:val="22"/>
          <w:szCs w:val="22"/>
          <w:vertAlign w:val="subscript"/>
        </w:rPr>
        <w:t>x</w:t>
      </w:r>
      <w:r w:rsidR="005E4002">
        <w:rPr>
          <w:sz w:val="22"/>
          <w:szCs w:val="22"/>
        </w:rPr>
        <w:t xml:space="preserve">) is incorporated in our models as </w:t>
      </w:r>
      <w:r w:rsidR="00FF60E4">
        <w:rPr>
          <w:sz w:val="22"/>
          <w:szCs w:val="22"/>
        </w:rPr>
        <w:t xml:space="preserve">previous studies showed </w:t>
      </w:r>
      <w:r w:rsidR="0087449C">
        <w:rPr>
          <w:sz w:val="22"/>
          <w:szCs w:val="22"/>
        </w:rPr>
        <w:t xml:space="preserve">that </w:t>
      </w:r>
      <w:r w:rsidR="00FF60E4">
        <w:rPr>
          <w:sz w:val="22"/>
          <w:szCs w:val="22"/>
        </w:rPr>
        <w:t xml:space="preserve">they were </w:t>
      </w:r>
      <w:r w:rsidR="005E4002">
        <w:rPr>
          <w:sz w:val="22"/>
          <w:szCs w:val="22"/>
        </w:rPr>
        <w:t xml:space="preserve">associated with </w:t>
      </w:r>
      <w:r w:rsidR="001C7E47">
        <w:rPr>
          <w:sz w:val="22"/>
          <w:szCs w:val="22"/>
        </w:rPr>
        <w:t xml:space="preserve">more </w:t>
      </w:r>
      <w:r w:rsidR="005E4002">
        <w:rPr>
          <w:sz w:val="22"/>
          <w:szCs w:val="22"/>
        </w:rPr>
        <w:t>chronic health outcomes, like TB, than either O</w:t>
      </w:r>
      <w:r w:rsidR="005E4002" w:rsidRPr="002979F4">
        <w:rPr>
          <w:sz w:val="22"/>
          <w:szCs w:val="22"/>
          <w:vertAlign w:val="subscript"/>
        </w:rPr>
        <w:t>3</w:t>
      </w:r>
      <w:r w:rsidR="005E4002">
        <w:rPr>
          <w:sz w:val="22"/>
          <w:szCs w:val="22"/>
        </w:rPr>
        <w:t xml:space="preserve"> or NO</w:t>
      </w:r>
      <w:r w:rsidR="005E4002" w:rsidRPr="002979F4">
        <w:rPr>
          <w:sz w:val="22"/>
          <w:szCs w:val="22"/>
          <w:vertAlign w:val="subscript"/>
        </w:rPr>
        <w:t>2</w:t>
      </w:r>
      <w:r w:rsidR="005E4002">
        <w:rPr>
          <w:sz w:val="22"/>
          <w:szCs w:val="22"/>
        </w:rPr>
        <w:t xml:space="preserve"> alone </w:t>
      </w:r>
      <w:r w:rsidR="005E4002">
        <w:rPr>
          <w:sz w:val="22"/>
          <w:szCs w:val="22"/>
        </w:rPr>
        <w:fldChar w:fldCharType="begin"/>
      </w:r>
      <w:r w:rsidR="004C78BF">
        <w:rPr>
          <w:sz w:val="22"/>
          <w:szCs w:val="22"/>
        </w:rPr>
        <w:instrText xml:space="preserve"> ADDIN ZOTERO_ITEM CSL_CITATION {"citationID":"zRDESLGv","properties":{"formattedCitation":"[13, 14]","plainCitation":"[13, 14]","noteIndex":0},"citationItems":[{"id":240,"uris":["http://zotero.org/users/4920080/items/5TIS7MZ5"],"uri":["http://zotero.org/users/4920080/items/5TIS7MZ5"],"itemData":{"id":240,"type":"article-journal","abstract":"Outdoor fine particulate air pollution (PM2.5) is known to increase mortality risk and is recognized as an important contributor to global disease burden. However, less is known about how oxidant gases may modify the chronic health effects of PM2.5. In this study, we examined how the oxidant capacity of O3 and NO2 (using a redox-weighted average, Ox) may modify the relationship between PM2.5 and mortality in the 2001 Canadian Census Health and Environment Cohort. In total, 2,448,500 people were followed over a 10.6-year period. Each 3.86 µg/m3 increase in PM2.5 was associated with nonaccidental (Hazard Ratio (HR) = 1.095, 95% CI: 1.077, 1.112), cardiovascular (HR = 1.088, 95% CI: 1.059, 1.118), and respiratory mortality (HR = 1.110, 95% CI: 1.051, 1.171) in the highest tertile of Ox whereas weaker/null associations were observed in the middle and lower tertiles. Analysis of joint non-linear concentration-response relationships for PM2.5 and Ox suggested threshold concentrations between approximately 23 and 25 ppb with Ox concentrations above these values strengthening PM2.5-mortality associations. Overall, our findings suggest that oxidant gases enhance the chronic health risks of PM2.5. In some areas, reductions in Ox concentrations may have the added benefit of reducing the public health impacts of PM2.5 even if mass concentrations remain unchanged.","container-title":"Scientific Reports","DOI":"10.1038/s41598-017-16770-y","ISSN":"2045-2322","issue":"1","language":"en","note":"number: 1\npublisher: Nature Publishing Group","page":"16401","source":"www.nature.com","title":"Impact of Oxidant Gases on the Relationship between Outdoor Fine Particulate Air Pollution and Nonaccidental, Cardiovascular, and Respiratory Mortality","volume":"7","author":[{"family":"Weichenthal","given":"Scott"},{"family":"Pinault","given":"Lauren L."},{"family":"Burnett","given":"Richard T."}],"issued":{"date-parts":[["2017",11,27]]}},"label":"page"},{"id":239,"uris":["http://zotero.org/users/4920080/items/PYENXZH6"],"uri":["http://zotero.org/users/4920080/items/PYENXZH6"],"itemData":{"id":239,"type":"article-journal","abstract":"Both nitrogen dioxide (NO2) and ozone (O3) are powerful oxidants in ambient air that are intimately linked through atmospheric chemistry and which continuously interchange over very short timescales. Based upon atmospheric chemistry alone, there is a strong, a priori, reason for considering O3 and NO2 together in epidemiological studies, rather than either of the two pollutants separately in single-pollutant models. This paper compares two approaches to this, using Ox, defined as O3 + NO2, as a single metric and also using O3 and NO2 together in two-pollutant models. We hypothesised that the magnitude of the association between Ox and daily mortality would be greater than for NO2 and O3 individually. Using collocated hourly measurements for O3 and NO2 in London, from 2000 to 2005, we carried out a time series analysis of daily mortality. We investigated O3, NO2 and Ox individually in single-pollutant Poisson regression models and NO2 and O3 jointly in two-pollutant models in both all-year and season-specific analyses. We observed larger associations for mean 24-h concentrations of Ox (1.30 % increase in mortality per 10 ppb) than for O3 (0.87 %) and NO2 (0 %) individually. However, when analysed jointly in two-pollutant models, associations for O3 (1.54 %) and NO2 (1.07 %) were comparable to the Ox association. Season-specific analyses broadly followed this pattern irrespective of whether the Ox concentrations were driven by O3 production (summer) or depletion (winter). This novel approach in air pollution epidemiology captures the simultaneous impact of both oxidants whilst avoiding many of the statistical issues associated with two-pollutant models and potentially simplifies health impact calculations.","container-title":"Air Quality, Atmosphere, &amp; Health","DOI":"10.1007/s11869-014-0249-8","ISSN":"1873-9318","issue":"4","journalAbbreviation":"Air Qual Atmos Health","note":"PMID: 25431629\nPMCID: PMC4239710","page":"407-414","source":"PubMed Central","title":"Associations between daily mortality in London and combined oxidant capacity, ozone and nitrogen dioxide","volume":"7","author":[{"family":"Williams","given":"M. L."},{"family":"Atkinson","given":"R. W."},{"family":"Anderson","given":"H. R."},{"family":"Kelly","given":"F. J."}],"issued":{"date-parts":[["2014"]]}},"label":"page"}],"schema":"https://github.com/citation-style-language/schema/raw/master/csl-citation.json"} </w:instrText>
      </w:r>
      <w:r w:rsidR="005E4002">
        <w:rPr>
          <w:sz w:val="22"/>
          <w:szCs w:val="22"/>
        </w:rPr>
        <w:fldChar w:fldCharType="separate"/>
      </w:r>
      <w:r w:rsidR="004C78BF">
        <w:rPr>
          <w:noProof/>
          <w:sz w:val="22"/>
          <w:szCs w:val="22"/>
        </w:rPr>
        <w:t>[13, 14]</w:t>
      </w:r>
      <w:r w:rsidR="005E4002">
        <w:rPr>
          <w:sz w:val="22"/>
          <w:szCs w:val="22"/>
        </w:rPr>
        <w:fldChar w:fldCharType="end"/>
      </w:r>
      <w:r w:rsidR="005E4002">
        <w:rPr>
          <w:sz w:val="22"/>
          <w:szCs w:val="22"/>
        </w:rPr>
        <w:t xml:space="preserve">. </w:t>
      </w:r>
    </w:p>
    <w:p w14:paraId="19666FD2" w14:textId="77777777" w:rsidR="005E4002" w:rsidRDefault="005E4002" w:rsidP="007719C5">
      <w:pPr>
        <w:spacing w:line="480" w:lineRule="auto"/>
        <w:rPr>
          <w:sz w:val="22"/>
          <w:szCs w:val="22"/>
        </w:rPr>
      </w:pPr>
    </w:p>
    <w:p w14:paraId="13CAC658" w14:textId="7A4B7E36" w:rsidR="005E4002" w:rsidRDefault="005E4002" w:rsidP="007719C5">
      <w:pPr>
        <w:spacing w:line="480" w:lineRule="auto"/>
        <w:rPr>
          <w:sz w:val="22"/>
          <w:szCs w:val="22"/>
        </w:rPr>
      </w:pPr>
      <w:r>
        <w:rPr>
          <w:sz w:val="22"/>
          <w:szCs w:val="22"/>
        </w:rPr>
        <w:t xml:space="preserve">We hypothesize that </w:t>
      </w:r>
      <w:r w:rsidR="001C7F63">
        <w:rPr>
          <w:sz w:val="22"/>
          <w:szCs w:val="22"/>
        </w:rPr>
        <w:t xml:space="preserve">living in </w:t>
      </w:r>
      <w:r>
        <w:rPr>
          <w:sz w:val="22"/>
          <w:szCs w:val="22"/>
        </w:rPr>
        <w:t xml:space="preserve">greener areas attenuated </w:t>
      </w:r>
      <w:r w:rsidR="00403A41">
        <w:rPr>
          <w:sz w:val="22"/>
          <w:szCs w:val="22"/>
        </w:rPr>
        <w:t xml:space="preserve">the </w:t>
      </w:r>
      <w:r>
        <w:rPr>
          <w:sz w:val="22"/>
          <w:szCs w:val="22"/>
        </w:rPr>
        <w:t xml:space="preserve">risk of </w:t>
      </w:r>
      <w:r w:rsidR="001C7F63">
        <w:rPr>
          <w:sz w:val="22"/>
          <w:szCs w:val="22"/>
        </w:rPr>
        <w:t>PM</w:t>
      </w:r>
      <w:r w:rsidR="001C7F63" w:rsidRPr="005E4002">
        <w:rPr>
          <w:sz w:val="22"/>
          <w:szCs w:val="22"/>
          <w:vertAlign w:val="subscript"/>
        </w:rPr>
        <w:t>2.5</w:t>
      </w:r>
      <w:r w:rsidR="001C7F63">
        <w:rPr>
          <w:sz w:val="22"/>
          <w:szCs w:val="22"/>
        </w:rPr>
        <w:t>-related m</w:t>
      </w:r>
      <w:r>
        <w:rPr>
          <w:sz w:val="22"/>
          <w:szCs w:val="22"/>
        </w:rPr>
        <w:t xml:space="preserve">ortality </w:t>
      </w:r>
      <w:r w:rsidR="001C7F63">
        <w:rPr>
          <w:sz w:val="22"/>
          <w:szCs w:val="22"/>
        </w:rPr>
        <w:t xml:space="preserve">among patients with MDR-TB </w:t>
      </w:r>
      <w:r>
        <w:rPr>
          <w:sz w:val="22"/>
          <w:szCs w:val="22"/>
        </w:rPr>
        <w:t>by potentially increasing exposure to fresh air, lowering emission</w:t>
      </w:r>
      <w:r w:rsidR="00BD3B7B">
        <w:rPr>
          <w:rFonts w:hint="eastAsia"/>
          <w:sz w:val="22"/>
          <w:szCs w:val="22"/>
        </w:rPr>
        <w:t>s</w:t>
      </w:r>
      <w:r>
        <w:rPr>
          <w:sz w:val="22"/>
          <w:szCs w:val="22"/>
        </w:rPr>
        <w:t xml:space="preserve">, and cooling </w:t>
      </w:r>
      <w:r w:rsidR="006C3626">
        <w:rPr>
          <w:rFonts w:hint="eastAsia"/>
          <w:sz w:val="22"/>
          <w:szCs w:val="22"/>
        </w:rPr>
        <w:t>air</w:t>
      </w:r>
      <w:r>
        <w:rPr>
          <w:sz w:val="22"/>
          <w:szCs w:val="22"/>
        </w:rPr>
        <w:t xml:space="preserve">. </w:t>
      </w:r>
    </w:p>
    <w:p w14:paraId="61B6FF4A" w14:textId="77777777" w:rsidR="00E458D8" w:rsidRDefault="00E458D8" w:rsidP="007719C5">
      <w:pPr>
        <w:spacing w:line="480" w:lineRule="auto"/>
        <w:rPr>
          <w:sz w:val="22"/>
          <w:szCs w:val="22"/>
        </w:rPr>
      </w:pPr>
    </w:p>
    <w:p w14:paraId="4BB5F62E" w14:textId="636FA7D8" w:rsidR="00FD23AB" w:rsidRDefault="002B6C61" w:rsidP="007719C5">
      <w:pPr>
        <w:spacing w:line="480" w:lineRule="auto"/>
        <w:rPr>
          <w:b/>
          <w:bCs/>
          <w:sz w:val="22"/>
          <w:szCs w:val="22"/>
        </w:rPr>
      </w:pPr>
      <w:r w:rsidRPr="002B6C61">
        <w:rPr>
          <w:b/>
          <w:bCs/>
          <w:sz w:val="22"/>
          <w:szCs w:val="22"/>
        </w:rPr>
        <w:t>Methods</w:t>
      </w:r>
    </w:p>
    <w:p w14:paraId="14FB73E0" w14:textId="23896D90" w:rsidR="002B6C61" w:rsidRPr="00585F0E" w:rsidRDefault="00585F0E" w:rsidP="007719C5">
      <w:pPr>
        <w:spacing w:line="480" w:lineRule="auto"/>
        <w:rPr>
          <w:b/>
          <w:bCs/>
          <w:i/>
          <w:sz w:val="22"/>
          <w:szCs w:val="22"/>
        </w:rPr>
      </w:pPr>
      <w:r>
        <w:rPr>
          <w:b/>
          <w:bCs/>
          <w:i/>
          <w:sz w:val="22"/>
          <w:szCs w:val="22"/>
        </w:rPr>
        <w:t>The Study cohort</w:t>
      </w:r>
    </w:p>
    <w:p w14:paraId="322FB83C" w14:textId="1D7BA6B8" w:rsidR="00214C44" w:rsidRDefault="005E4002" w:rsidP="007719C5">
      <w:pPr>
        <w:spacing w:line="480" w:lineRule="auto"/>
        <w:rPr>
          <w:sz w:val="22"/>
          <w:szCs w:val="22"/>
        </w:rPr>
      </w:pPr>
      <w:r>
        <w:rPr>
          <w:sz w:val="22"/>
          <w:szCs w:val="22"/>
        </w:rPr>
        <w:t>All MDR-TB cases included in this study were microbiologically confirmed by prefe</w:t>
      </w:r>
      <w:r w:rsidR="00C11F0B">
        <w:rPr>
          <w:sz w:val="22"/>
          <w:szCs w:val="22"/>
        </w:rPr>
        <w:t>c</w:t>
      </w:r>
      <w:r>
        <w:rPr>
          <w:sz w:val="22"/>
          <w:szCs w:val="22"/>
        </w:rPr>
        <w:t xml:space="preserve">ture-level reference laboratories under rigorous quality control </w:t>
      </w:r>
      <w:r w:rsidR="00C11F0B">
        <w:rPr>
          <w:sz w:val="22"/>
          <w:szCs w:val="22"/>
        </w:rPr>
        <w:t>by</w:t>
      </w:r>
      <w:r>
        <w:rPr>
          <w:sz w:val="22"/>
          <w:szCs w:val="22"/>
        </w:rPr>
        <w:t xml:space="preserve"> the </w:t>
      </w:r>
      <w:r w:rsidR="00225E5C">
        <w:rPr>
          <w:sz w:val="22"/>
          <w:szCs w:val="22"/>
        </w:rPr>
        <w:t xml:space="preserve">Zhejiang Provincial Center for Disease Control and Prevention (CDC) and </w:t>
      </w:r>
      <w:r w:rsidR="00B92615">
        <w:rPr>
          <w:sz w:val="22"/>
          <w:szCs w:val="22"/>
          <w:lang w:val="en-US"/>
        </w:rPr>
        <w:t>t</w:t>
      </w:r>
      <w:r w:rsidR="00225E5C" w:rsidRPr="005F7AFE">
        <w:rPr>
          <w:sz w:val="22"/>
          <w:szCs w:val="22"/>
          <w:lang w:val="en-US"/>
        </w:rPr>
        <w:t>he Fourth People’s Hospital of Ningxia</w:t>
      </w:r>
      <w:r w:rsidR="00225E5C">
        <w:rPr>
          <w:sz w:val="22"/>
          <w:szCs w:val="22"/>
          <w:lang w:val="en-US"/>
        </w:rPr>
        <w:t xml:space="preserve">. </w:t>
      </w:r>
      <w:r w:rsidR="009003D4">
        <w:rPr>
          <w:sz w:val="22"/>
          <w:szCs w:val="22"/>
          <w:lang w:val="en-US"/>
        </w:rPr>
        <w:t>Patients were required to provide three sputum samples and drug susceptible testing</w:t>
      </w:r>
      <w:r w:rsidR="00FA4A7C">
        <w:rPr>
          <w:sz w:val="22"/>
          <w:szCs w:val="22"/>
          <w:lang w:val="en-US"/>
        </w:rPr>
        <w:t xml:space="preserve"> (DST)</w:t>
      </w:r>
      <w:r w:rsidR="009003D4">
        <w:rPr>
          <w:sz w:val="22"/>
          <w:szCs w:val="22"/>
          <w:lang w:val="en-US"/>
        </w:rPr>
        <w:t xml:space="preserve"> </w:t>
      </w:r>
      <w:r w:rsidR="00AD3B4A">
        <w:rPr>
          <w:sz w:val="22"/>
          <w:szCs w:val="22"/>
          <w:lang w:val="en-US"/>
        </w:rPr>
        <w:t xml:space="preserve">at one of </w:t>
      </w:r>
      <w:r w:rsidR="00CD2C8F">
        <w:rPr>
          <w:sz w:val="22"/>
          <w:szCs w:val="22"/>
          <w:lang w:val="en-US"/>
        </w:rPr>
        <w:t xml:space="preserve">the </w:t>
      </w:r>
      <w:r w:rsidR="00AD3B4A">
        <w:rPr>
          <w:sz w:val="22"/>
          <w:szCs w:val="22"/>
          <w:lang w:val="en-US"/>
        </w:rPr>
        <w:t xml:space="preserve">prefecture-level TB-designated </w:t>
      </w:r>
      <w:r w:rsidR="00DE23A9">
        <w:rPr>
          <w:sz w:val="22"/>
          <w:szCs w:val="22"/>
          <w:lang w:val="en-US"/>
        </w:rPr>
        <w:t>hospitals. All th</w:t>
      </w:r>
      <w:r w:rsidR="00000248">
        <w:rPr>
          <w:sz w:val="22"/>
          <w:szCs w:val="22"/>
          <w:lang w:val="en-US"/>
        </w:rPr>
        <w:t xml:space="preserve">e three samples were tested using microscopy, and two were sent </w:t>
      </w:r>
      <w:r w:rsidR="009805FE">
        <w:rPr>
          <w:sz w:val="22"/>
          <w:szCs w:val="22"/>
          <w:lang w:val="en-US"/>
        </w:rPr>
        <w:t xml:space="preserve">for </w:t>
      </w:r>
      <w:proofErr w:type="spellStart"/>
      <w:r w:rsidR="009805FE">
        <w:rPr>
          <w:sz w:val="22"/>
          <w:szCs w:val="22"/>
          <w:lang w:val="en-US"/>
        </w:rPr>
        <w:t>Löwenstein</w:t>
      </w:r>
      <w:proofErr w:type="spellEnd"/>
      <w:r w:rsidR="009805FE">
        <w:rPr>
          <w:sz w:val="22"/>
          <w:szCs w:val="22"/>
          <w:lang w:val="en-US"/>
        </w:rPr>
        <w:t xml:space="preserve">-Jensen solid </w:t>
      </w:r>
      <w:r w:rsidR="008A4F81">
        <w:rPr>
          <w:sz w:val="22"/>
          <w:szCs w:val="22"/>
          <w:lang w:val="en-US"/>
        </w:rPr>
        <w:t xml:space="preserve">culture. </w:t>
      </w:r>
      <w:r w:rsidR="00032501">
        <w:rPr>
          <w:sz w:val="22"/>
          <w:szCs w:val="22"/>
          <w:lang w:val="en-US"/>
        </w:rPr>
        <w:t>Culture-pos</w:t>
      </w:r>
      <w:r w:rsidR="0060145A">
        <w:rPr>
          <w:sz w:val="22"/>
          <w:szCs w:val="22"/>
          <w:lang w:val="en-US"/>
        </w:rPr>
        <w:t>i</w:t>
      </w:r>
      <w:r w:rsidR="00032501">
        <w:rPr>
          <w:sz w:val="22"/>
          <w:szCs w:val="22"/>
          <w:lang w:val="en-US"/>
        </w:rPr>
        <w:t xml:space="preserve">tive samples were subject to DST against the first-line anti-TB drug RMP, INH, ethambutol, and streptomycin. </w:t>
      </w:r>
      <w:r w:rsidR="00C11F0B">
        <w:rPr>
          <w:sz w:val="22"/>
          <w:szCs w:val="22"/>
          <w:lang w:val="en-US"/>
        </w:rPr>
        <w:t>Both</w:t>
      </w:r>
      <w:r>
        <w:rPr>
          <w:sz w:val="22"/>
          <w:szCs w:val="22"/>
          <w:lang w:val="en-US"/>
        </w:rPr>
        <w:t xml:space="preserve"> provinces adopted </w:t>
      </w:r>
      <w:r w:rsidR="00C11F0B">
        <w:rPr>
          <w:sz w:val="22"/>
          <w:szCs w:val="22"/>
          <w:lang w:val="en-US"/>
        </w:rPr>
        <w:t>the case diagnosis and detection procedure</w:t>
      </w:r>
      <w:r>
        <w:rPr>
          <w:sz w:val="22"/>
          <w:szCs w:val="22"/>
          <w:lang w:val="en-US"/>
        </w:rPr>
        <w:t xml:space="preserve"> recommended by the </w:t>
      </w:r>
      <w:r w:rsidR="00225E5C">
        <w:rPr>
          <w:sz w:val="22"/>
          <w:szCs w:val="22"/>
        </w:rPr>
        <w:t>National Health Commission of China-Bill and Melinda Gates Foundation TB Collaboration project</w:t>
      </w:r>
      <w:r w:rsidR="006A5F77">
        <w:rPr>
          <w:sz w:val="22"/>
          <w:szCs w:val="22"/>
        </w:rPr>
        <w:t xml:space="preserve"> </w:t>
      </w:r>
      <w:r w:rsidR="006A5F77">
        <w:rPr>
          <w:sz w:val="22"/>
          <w:szCs w:val="22"/>
        </w:rPr>
        <w:fldChar w:fldCharType="begin"/>
      </w:r>
      <w:r w:rsidR="004C78BF">
        <w:rPr>
          <w:sz w:val="22"/>
          <w:szCs w:val="22"/>
        </w:rPr>
        <w:instrText xml:space="preserve"> ADDIN ZOTERO_ITEM CSL_CITATION {"citationID":"uQ1UlT0H","properties":{"formattedCitation":"[11]","plainCitation":"[11]","noteIndex":0},"citationItems":[{"id":241,"uris":["http://zotero.org/users/4920080/items/TTGMHKUH"],"uri":["http://zotero.org/users/4920080/items/TTGMHKUH"],"itemData":{"id":241,"type":"webpage","language":"en","note":"source: www.gatesfoundation.org","title":"Chinese Government and Foundation Announce Partnership to Fight Tuberculosis - Bill &amp; Melinda Gates Foundation","URL":"https://www.gatesfoundation.org/Media-Center/Press-Releases/2009/04/Chinese-Government-and-Foundation-Announce-Partnership-to-Fight-Tuberculosis","accessed":{"date-parts":[["2020",6,16]]},"issued":{"date-parts":[["1",1,1]]}}}],"schema":"https://github.com/citation-style-language/schema/raw/master/csl-citation.json"} </w:instrText>
      </w:r>
      <w:r w:rsidR="006A5F77">
        <w:rPr>
          <w:sz w:val="22"/>
          <w:szCs w:val="22"/>
        </w:rPr>
        <w:fldChar w:fldCharType="separate"/>
      </w:r>
      <w:r w:rsidR="004C78BF">
        <w:rPr>
          <w:noProof/>
          <w:sz w:val="22"/>
          <w:szCs w:val="22"/>
        </w:rPr>
        <w:t>[11]</w:t>
      </w:r>
      <w:r w:rsidR="006A5F77">
        <w:rPr>
          <w:sz w:val="22"/>
          <w:szCs w:val="22"/>
        </w:rPr>
        <w:fldChar w:fldCharType="end"/>
      </w:r>
      <w:r w:rsidR="00225E5C">
        <w:rPr>
          <w:sz w:val="22"/>
          <w:szCs w:val="22"/>
        </w:rPr>
        <w:t xml:space="preserve">. </w:t>
      </w:r>
    </w:p>
    <w:p w14:paraId="35937ECF" w14:textId="0AA1E41B" w:rsidR="003E0DDD" w:rsidRDefault="003E0DDD" w:rsidP="007719C5">
      <w:pPr>
        <w:spacing w:line="480" w:lineRule="auto"/>
        <w:rPr>
          <w:sz w:val="22"/>
          <w:szCs w:val="22"/>
        </w:rPr>
      </w:pPr>
    </w:p>
    <w:p w14:paraId="3883F6E9" w14:textId="3D35C53E" w:rsidR="005E4002" w:rsidRPr="008151D9" w:rsidRDefault="006A5F77" w:rsidP="007719C5">
      <w:pPr>
        <w:spacing w:line="480" w:lineRule="auto"/>
        <w:rPr>
          <w:sz w:val="22"/>
          <w:szCs w:val="22"/>
        </w:rPr>
      </w:pPr>
      <w:r>
        <w:rPr>
          <w:sz w:val="22"/>
          <w:szCs w:val="22"/>
        </w:rPr>
        <w:t xml:space="preserve">Active MDR-TB cases reported </w:t>
      </w:r>
      <w:r w:rsidR="002C7995">
        <w:rPr>
          <w:sz w:val="22"/>
          <w:szCs w:val="22"/>
        </w:rPr>
        <w:t>from</w:t>
      </w:r>
      <w:r>
        <w:rPr>
          <w:sz w:val="22"/>
          <w:szCs w:val="22"/>
        </w:rPr>
        <w:t xml:space="preserve"> January 1</w:t>
      </w:r>
      <w:r w:rsidRPr="006A5F77">
        <w:rPr>
          <w:sz w:val="22"/>
          <w:szCs w:val="22"/>
          <w:vertAlign w:val="superscript"/>
        </w:rPr>
        <w:t>st</w:t>
      </w:r>
      <w:proofErr w:type="gramStart"/>
      <w:r>
        <w:rPr>
          <w:sz w:val="22"/>
          <w:szCs w:val="22"/>
        </w:rPr>
        <w:t xml:space="preserve"> 2009</w:t>
      </w:r>
      <w:proofErr w:type="gramEnd"/>
      <w:r>
        <w:rPr>
          <w:sz w:val="22"/>
          <w:szCs w:val="22"/>
        </w:rPr>
        <w:t xml:space="preserve"> to December 31</w:t>
      </w:r>
      <w:r w:rsidRPr="006A5F77">
        <w:rPr>
          <w:sz w:val="22"/>
          <w:szCs w:val="22"/>
          <w:vertAlign w:val="superscript"/>
        </w:rPr>
        <w:t>st</w:t>
      </w:r>
      <w:r>
        <w:rPr>
          <w:sz w:val="22"/>
          <w:szCs w:val="22"/>
        </w:rPr>
        <w:t xml:space="preserve"> 2017 were eligible for inclusion. </w:t>
      </w:r>
      <w:r w:rsidR="00C11F0B">
        <w:rPr>
          <w:sz w:val="22"/>
          <w:szCs w:val="22"/>
        </w:rPr>
        <w:t>We enrolled all</w:t>
      </w:r>
      <w:r w:rsidR="00F70380">
        <w:rPr>
          <w:sz w:val="22"/>
          <w:szCs w:val="22"/>
        </w:rPr>
        <w:t xml:space="preserve"> </w:t>
      </w:r>
      <w:r w:rsidR="00C11F0B">
        <w:rPr>
          <w:sz w:val="22"/>
          <w:szCs w:val="22"/>
        </w:rPr>
        <w:t xml:space="preserve">confirmed cases diagnosed between January </w:t>
      </w:r>
      <w:proofErr w:type="gramStart"/>
      <w:r w:rsidR="00C11F0B">
        <w:rPr>
          <w:sz w:val="22"/>
          <w:szCs w:val="22"/>
        </w:rPr>
        <w:t>1</w:t>
      </w:r>
      <w:r w:rsidR="00C11F0B" w:rsidRPr="00C11F0B">
        <w:rPr>
          <w:sz w:val="22"/>
          <w:szCs w:val="22"/>
          <w:vertAlign w:val="superscript"/>
        </w:rPr>
        <w:t>st</w:t>
      </w:r>
      <w:proofErr w:type="gramEnd"/>
      <w:r w:rsidR="00C11F0B">
        <w:rPr>
          <w:sz w:val="22"/>
          <w:szCs w:val="22"/>
        </w:rPr>
        <w:t xml:space="preserve"> 2009 and December 31</w:t>
      </w:r>
      <w:r w:rsidR="00C11F0B" w:rsidRPr="00C11F0B">
        <w:rPr>
          <w:sz w:val="22"/>
          <w:szCs w:val="22"/>
          <w:vertAlign w:val="superscript"/>
        </w:rPr>
        <w:t>st</w:t>
      </w:r>
      <w:r w:rsidR="00C11F0B">
        <w:rPr>
          <w:sz w:val="22"/>
          <w:szCs w:val="22"/>
        </w:rPr>
        <w:t xml:space="preserve"> 2017 in Zhejiang and between January 1</w:t>
      </w:r>
      <w:r w:rsidR="00C11F0B" w:rsidRPr="00C11F0B">
        <w:rPr>
          <w:sz w:val="22"/>
          <w:szCs w:val="22"/>
          <w:vertAlign w:val="superscript"/>
        </w:rPr>
        <w:t>st</w:t>
      </w:r>
      <w:r w:rsidR="00C11F0B">
        <w:rPr>
          <w:sz w:val="22"/>
          <w:szCs w:val="22"/>
        </w:rPr>
        <w:t xml:space="preserve"> 2015 and December 31</w:t>
      </w:r>
      <w:r w:rsidR="00C11F0B" w:rsidRPr="00C11F0B">
        <w:rPr>
          <w:sz w:val="22"/>
          <w:szCs w:val="22"/>
          <w:vertAlign w:val="superscript"/>
        </w:rPr>
        <w:t>st</w:t>
      </w:r>
      <w:r w:rsidR="00C11F0B">
        <w:rPr>
          <w:sz w:val="22"/>
          <w:szCs w:val="22"/>
        </w:rPr>
        <w:t xml:space="preserve"> 2017 in Ningxia because </w:t>
      </w:r>
      <w:r>
        <w:rPr>
          <w:sz w:val="22"/>
          <w:szCs w:val="22"/>
        </w:rPr>
        <w:t xml:space="preserve">earlier cases were not </w:t>
      </w:r>
      <w:r>
        <w:rPr>
          <w:sz w:val="22"/>
          <w:szCs w:val="22"/>
        </w:rPr>
        <w:lastRenderedPageBreak/>
        <w:t xml:space="preserve">available. We excluded migrant patients to reduce exposure misclassification as they might return to hometowns </w:t>
      </w:r>
      <w:r w:rsidR="00732AA7">
        <w:rPr>
          <w:sz w:val="22"/>
          <w:szCs w:val="22"/>
        </w:rPr>
        <w:t>during</w:t>
      </w:r>
      <w:r>
        <w:rPr>
          <w:sz w:val="22"/>
          <w:szCs w:val="22"/>
        </w:rPr>
        <w:t xml:space="preserve"> TB treatment </w:t>
      </w:r>
      <w:r w:rsidR="00C11F0B">
        <w:rPr>
          <w:sz w:val="22"/>
          <w:szCs w:val="22"/>
        </w:rPr>
        <w:t>which</w:t>
      </w:r>
      <w:r>
        <w:rPr>
          <w:sz w:val="22"/>
          <w:szCs w:val="22"/>
        </w:rPr>
        <w:t xml:space="preserve"> were not recorded. We also excluded patients who had no complete record of MDR-TB diagnosis, died, moved out of the provinces before diagnosis, or had no air pollution and greenness data </w:t>
      </w:r>
      <w:r w:rsidR="00360E5F">
        <w:rPr>
          <w:sz w:val="22"/>
          <w:szCs w:val="22"/>
        </w:rPr>
        <w:t>available for th</w:t>
      </w:r>
      <w:r w:rsidR="00751390">
        <w:rPr>
          <w:sz w:val="22"/>
          <w:szCs w:val="22"/>
        </w:rPr>
        <w:t>eir</w:t>
      </w:r>
      <w:r w:rsidR="00360E5F">
        <w:rPr>
          <w:sz w:val="22"/>
          <w:szCs w:val="22"/>
        </w:rPr>
        <w:t xml:space="preserve"> residential addresses.</w:t>
      </w:r>
    </w:p>
    <w:p w14:paraId="29C96A2F" w14:textId="77777777" w:rsidR="00F2189C" w:rsidRPr="00360E5F" w:rsidRDefault="00F2189C" w:rsidP="007719C5">
      <w:pPr>
        <w:spacing w:line="480" w:lineRule="auto"/>
        <w:rPr>
          <w:sz w:val="22"/>
          <w:szCs w:val="22"/>
        </w:rPr>
      </w:pPr>
    </w:p>
    <w:p w14:paraId="749A2D4D" w14:textId="2406F691" w:rsidR="00A156F7" w:rsidRDefault="00585F0E" w:rsidP="007719C5">
      <w:pPr>
        <w:spacing w:line="480" w:lineRule="auto"/>
        <w:rPr>
          <w:b/>
          <w:bCs/>
          <w:sz w:val="22"/>
          <w:szCs w:val="22"/>
        </w:rPr>
      </w:pPr>
      <w:r>
        <w:rPr>
          <w:b/>
          <w:bCs/>
          <w:sz w:val="22"/>
          <w:szCs w:val="22"/>
        </w:rPr>
        <w:t>Measures</w:t>
      </w:r>
    </w:p>
    <w:p w14:paraId="0A2B2D94" w14:textId="581BADEB" w:rsidR="002962A1" w:rsidRPr="002962A1" w:rsidRDefault="002962A1" w:rsidP="007719C5">
      <w:pPr>
        <w:spacing w:line="480" w:lineRule="auto"/>
        <w:rPr>
          <w:b/>
          <w:bCs/>
          <w:i/>
          <w:sz w:val="22"/>
          <w:szCs w:val="22"/>
        </w:rPr>
      </w:pPr>
      <w:r w:rsidRPr="002962A1">
        <w:rPr>
          <w:b/>
          <w:bCs/>
          <w:i/>
          <w:sz w:val="22"/>
          <w:szCs w:val="22"/>
        </w:rPr>
        <w:t>Outcome measures</w:t>
      </w:r>
    </w:p>
    <w:p w14:paraId="3C940E3A" w14:textId="02F3436F" w:rsidR="00EE7B29" w:rsidRPr="00360E5F" w:rsidRDefault="00360E5F" w:rsidP="007719C5">
      <w:pPr>
        <w:spacing w:line="480" w:lineRule="auto"/>
        <w:rPr>
          <w:sz w:val="22"/>
          <w:szCs w:val="22"/>
          <w:lang w:val="en-US"/>
        </w:rPr>
      </w:pPr>
      <w:r>
        <w:rPr>
          <w:bCs/>
          <w:sz w:val="22"/>
          <w:szCs w:val="22"/>
        </w:rPr>
        <w:t xml:space="preserve">MDR-TB patients were registered and prospectively followed by the Zhejiang Provincial CDC and </w:t>
      </w:r>
      <w:r w:rsidR="00B92615">
        <w:rPr>
          <w:bCs/>
          <w:sz w:val="22"/>
          <w:szCs w:val="22"/>
        </w:rPr>
        <w:t xml:space="preserve">the </w:t>
      </w:r>
      <w:r w:rsidR="00B92615" w:rsidRPr="005F7AFE">
        <w:rPr>
          <w:sz w:val="22"/>
          <w:szCs w:val="22"/>
          <w:lang w:val="en-US"/>
        </w:rPr>
        <w:t>Fourth People’s Hospital of Ningxia</w:t>
      </w:r>
      <w:r>
        <w:rPr>
          <w:sz w:val="22"/>
          <w:szCs w:val="22"/>
          <w:lang w:val="en-US"/>
        </w:rPr>
        <w:t xml:space="preserve"> from diagnosis confirmation to death, loss to follow-up</w:t>
      </w:r>
      <w:r w:rsidR="00134ADE">
        <w:rPr>
          <w:sz w:val="22"/>
          <w:szCs w:val="22"/>
          <w:lang w:val="en-US"/>
        </w:rPr>
        <w:t>, or end of the study by December 31</w:t>
      </w:r>
      <w:r w:rsidR="00134ADE" w:rsidRPr="00134ADE">
        <w:rPr>
          <w:sz w:val="22"/>
          <w:szCs w:val="22"/>
          <w:vertAlign w:val="superscript"/>
          <w:lang w:val="en-US"/>
        </w:rPr>
        <w:t>st</w:t>
      </w:r>
      <w:r w:rsidR="00400D55">
        <w:rPr>
          <w:sz w:val="22"/>
          <w:szCs w:val="22"/>
          <w:lang w:val="en-US"/>
        </w:rPr>
        <w:t>, 2019</w:t>
      </w:r>
      <w:r>
        <w:rPr>
          <w:sz w:val="22"/>
          <w:szCs w:val="22"/>
          <w:lang w:val="en-US"/>
        </w:rPr>
        <w:t xml:space="preserve">. </w:t>
      </w:r>
      <w:r w:rsidR="00134ADE">
        <w:rPr>
          <w:sz w:val="22"/>
          <w:szCs w:val="22"/>
          <w:lang w:val="en-US"/>
        </w:rPr>
        <w:t xml:space="preserve">We verified mortality information through the vital registration database obtained in </w:t>
      </w:r>
      <w:r w:rsidR="007F66AA">
        <w:rPr>
          <w:sz w:val="22"/>
          <w:szCs w:val="22"/>
          <w:lang w:val="en-US"/>
        </w:rPr>
        <w:t xml:space="preserve">both </w:t>
      </w:r>
      <w:r w:rsidR="00134ADE">
        <w:rPr>
          <w:sz w:val="22"/>
          <w:szCs w:val="22"/>
          <w:lang w:val="en-US"/>
        </w:rPr>
        <w:t xml:space="preserve">provincial CDCs. </w:t>
      </w:r>
      <w:r>
        <w:rPr>
          <w:sz w:val="22"/>
          <w:szCs w:val="22"/>
          <w:lang w:val="en-US"/>
        </w:rPr>
        <w:t xml:space="preserve"> </w:t>
      </w:r>
      <w:r w:rsidR="00B92615">
        <w:rPr>
          <w:sz w:val="22"/>
          <w:szCs w:val="22"/>
          <w:lang w:val="en-US"/>
        </w:rPr>
        <w:t xml:space="preserve"> </w:t>
      </w:r>
      <w:r w:rsidR="000A19B8">
        <w:rPr>
          <w:sz w:val="22"/>
          <w:szCs w:val="22"/>
          <w:lang w:val="en-US"/>
        </w:rPr>
        <w:t xml:space="preserve"> </w:t>
      </w:r>
    </w:p>
    <w:p w14:paraId="7A948490" w14:textId="2E03A5EA" w:rsidR="00537D1A" w:rsidRDefault="00537D1A" w:rsidP="007719C5">
      <w:pPr>
        <w:spacing w:line="480" w:lineRule="auto"/>
        <w:rPr>
          <w:b/>
          <w:bCs/>
          <w:i/>
          <w:sz w:val="22"/>
          <w:szCs w:val="22"/>
        </w:rPr>
      </w:pPr>
    </w:p>
    <w:p w14:paraId="231D887C" w14:textId="406A859E" w:rsidR="00924B34" w:rsidRDefault="00924B34" w:rsidP="007719C5">
      <w:pPr>
        <w:spacing w:line="480" w:lineRule="auto"/>
        <w:rPr>
          <w:b/>
          <w:bCs/>
          <w:i/>
          <w:sz w:val="22"/>
          <w:szCs w:val="22"/>
        </w:rPr>
      </w:pPr>
      <w:r>
        <w:rPr>
          <w:b/>
          <w:bCs/>
          <w:i/>
          <w:sz w:val="22"/>
          <w:szCs w:val="22"/>
        </w:rPr>
        <w:t>Exposure measures</w:t>
      </w:r>
    </w:p>
    <w:p w14:paraId="43D3EB10" w14:textId="6523CB1C" w:rsidR="00924B34" w:rsidRDefault="00924B34" w:rsidP="007719C5">
      <w:pPr>
        <w:spacing w:line="480" w:lineRule="auto"/>
        <w:rPr>
          <w:bCs/>
          <w:sz w:val="22"/>
          <w:szCs w:val="22"/>
        </w:rPr>
      </w:pPr>
      <w:r w:rsidRPr="002E2A9D">
        <w:rPr>
          <w:bCs/>
          <w:sz w:val="22"/>
          <w:szCs w:val="22"/>
        </w:rPr>
        <w:t xml:space="preserve">We </w:t>
      </w:r>
      <w:r>
        <w:rPr>
          <w:bCs/>
          <w:sz w:val="22"/>
          <w:szCs w:val="22"/>
        </w:rPr>
        <w:t>assigned estimates of air pollution and greenness exposures to patients from date of MDR-TB confirm</w:t>
      </w:r>
      <w:r w:rsidR="001A1944">
        <w:rPr>
          <w:bCs/>
          <w:sz w:val="22"/>
          <w:szCs w:val="22"/>
        </w:rPr>
        <w:t>ed</w:t>
      </w:r>
      <w:r>
        <w:rPr>
          <w:bCs/>
          <w:sz w:val="22"/>
          <w:szCs w:val="22"/>
        </w:rPr>
        <w:t xml:space="preserve"> to either date of death</w:t>
      </w:r>
      <w:r w:rsidR="00D934A4">
        <w:rPr>
          <w:bCs/>
          <w:sz w:val="22"/>
          <w:szCs w:val="22"/>
        </w:rPr>
        <w:t xml:space="preserve">, </w:t>
      </w:r>
      <w:r w:rsidR="00D934A4">
        <w:rPr>
          <w:sz w:val="22"/>
          <w:szCs w:val="22"/>
          <w:lang w:val="en-US"/>
        </w:rPr>
        <w:t>loss to follow-up,</w:t>
      </w:r>
      <w:r>
        <w:rPr>
          <w:bCs/>
          <w:sz w:val="22"/>
          <w:szCs w:val="22"/>
        </w:rPr>
        <w:t xml:space="preserve"> or the end of the study by geocoding patients’ home addresses</w:t>
      </w:r>
      <w:r w:rsidR="00D92B02">
        <w:rPr>
          <w:bCs/>
          <w:sz w:val="22"/>
          <w:szCs w:val="22"/>
        </w:rPr>
        <w:t xml:space="preserve"> (Figure 1)</w:t>
      </w:r>
      <w:r>
        <w:rPr>
          <w:bCs/>
          <w:sz w:val="22"/>
          <w:szCs w:val="22"/>
        </w:rPr>
        <w:t>. Th</w:t>
      </w:r>
      <w:r w:rsidR="001A1944">
        <w:rPr>
          <w:bCs/>
          <w:sz w:val="22"/>
          <w:szCs w:val="22"/>
        </w:rPr>
        <w:t>e detailed</w:t>
      </w:r>
      <w:r w:rsidR="003F09AD">
        <w:rPr>
          <w:bCs/>
          <w:sz w:val="22"/>
          <w:szCs w:val="22"/>
        </w:rPr>
        <w:t xml:space="preserve"> geocode</w:t>
      </w:r>
      <w:r>
        <w:rPr>
          <w:bCs/>
          <w:sz w:val="22"/>
          <w:szCs w:val="22"/>
        </w:rPr>
        <w:t xml:space="preserve"> method </w:t>
      </w:r>
      <w:r w:rsidR="001A1944">
        <w:rPr>
          <w:bCs/>
          <w:sz w:val="22"/>
          <w:szCs w:val="22"/>
        </w:rPr>
        <w:t>was described and</w:t>
      </w:r>
      <w:r>
        <w:rPr>
          <w:bCs/>
          <w:sz w:val="22"/>
          <w:szCs w:val="22"/>
        </w:rPr>
        <w:t xml:space="preserve"> verified in our previous studies </w:t>
      </w:r>
      <w:r>
        <w:rPr>
          <w:sz w:val="22"/>
          <w:szCs w:val="22"/>
        </w:rPr>
        <w:fldChar w:fldCharType="begin"/>
      </w:r>
      <w:r w:rsidR="004C78BF">
        <w:rPr>
          <w:sz w:val="22"/>
          <w:szCs w:val="22"/>
        </w:rPr>
        <w:instrText xml:space="preserve"> ADDIN ZOTERO_ITEM CSL_CITATION {"citationID":"IIWBXUs7","properties":{"formattedCitation":"[15]","plainCitation":"[15]","noteIndex":0},"citationItems":[{"id":14,"uris":["http://zotero.org/users/4920080/items/KYIEIJ42"],"uri":["http://zotero.org/users/4920080/items/KYIEIJ42"],"itemData":{"id":14,"type":"article-journal","abstract":"Background\nTuberculosis (TB) is an infectious disease of major public health concern. The disease has demonstrated large space-time variations. This study aims to explore the space-time dynamics of TB cases in an economically and geographically dynamic province in China with specific references of TB control for policy makers.\n\nMethods\nData on all reported TB cases from 2009 to 2012 were collected from the TB program at the Zhejiang Provincial Center for Disease Control and Prevention. We employed time series and exploratory spatial data analyses, including Moran’s I, Local Getis’s Gi*, and Kulldorff’s space-time scan statistics, to identify the temporal trends and spatial patterns of TB at a county level.\n\nResults\nA total of 147,941 TB cases were reported during 2009–2012 in Zhejiang. A higher proportion of TB cases were younger, male, and registered permanent residents among all TB cases notified in the province. TB cases were reported most frequently in April with small peaks in June, July, and October. This disease was spatially clustering with Moran’s I values ranged from 0.29 to 0.32 (p &lt; 0.001). A most likely cluster and ten secondary clusters were identified, mainly concentrated in the southeast and west counties of the province.\n\nConclusions\nThis study identified seasonal patterns and significant space-time clusters of TB cases in Zhejiang, China. Poverty, migration, and seasonal effects may play important roles in potential clusters.\n\nElectronic supplementary material\nThe online version of this article (doi:10.1186/s40249-016-0104-2) contains supplementary material, which is available to authorized users.","container-title":"Infectious Diseases of Poverty","DOI":"10.1186/s40249-016-0104-2","ISSN":"2049-9957","journalAbbreviation":"Infect Dis Poverty","note":"PMID: 26906041\nPMCID: PMC4763446","source":"PubMed Central","title":"Spatial and temporal analysis of tuberculosis in Zhejiang Province, China, 2009-2012","URL":"https://www.ncbi.nlm.nih.gov/pmc/articles/PMC4763446/","volume":"5","author":[{"family":"Ge","given":"Erjia"},{"family":"Zhang","given":"Xin"},{"family":"Wang","given":"Xiaomeng"},{"family":"Wei","given":"Xiaolin"}],"accessed":{"date-parts":[["2020",3,25]]},"issued":{"date-parts":[["2016",2,23]]}}}],"schema":"https://github.com/citation-style-language/schema/raw/master/csl-citation.json"} </w:instrText>
      </w:r>
      <w:r>
        <w:rPr>
          <w:sz w:val="22"/>
          <w:szCs w:val="22"/>
        </w:rPr>
        <w:fldChar w:fldCharType="separate"/>
      </w:r>
      <w:r w:rsidR="004C78BF">
        <w:rPr>
          <w:noProof/>
          <w:sz w:val="22"/>
          <w:szCs w:val="22"/>
        </w:rPr>
        <w:t>[15]</w:t>
      </w:r>
      <w:r>
        <w:rPr>
          <w:sz w:val="22"/>
          <w:szCs w:val="22"/>
        </w:rPr>
        <w:fldChar w:fldCharType="end"/>
      </w:r>
      <w:r>
        <w:rPr>
          <w:sz w:val="22"/>
          <w:szCs w:val="22"/>
        </w:rPr>
        <w:t>.</w:t>
      </w:r>
    </w:p>
    <w:p w14:paraId="61EBDD27" w14:textId="7EDCEB22" w:rsidR="00924B34" w:rsidRPr="001845BD" w:rsidRDefault="00924B34" w:rsidP="007719C5">
      <w:pPr>
        <w:spacing w:line="480" w:lineRule="auto"/>
        <w:rPr>
          <w:b/>
          <w:bCs/>
          <w:i/>
          <w:sz w:val="22"/>
          <w:szCs w:val="22"/>
        </w:rPr>
      </w:pPr>
    </w:p>
    <w:p w14:paraId="2A210DF1" w14:textId="332E7900" w:rsidR="00A156F7" w:rsidRPr="00585F0E" w:rsidRDefault="00585F0E" w:rsidP="007719C5">
      <w:pPr>
        <w:spacing w:line="480" w:lineRule="auto"/>
        <w:rPr>
          <w:b/>
          <w:bCs/>
          <w:i/>
          <w:sz w:val="22"/>
          <w:szCs w:val="22"/>
        </w:rPr>
      </w:pPr>
      <w:r w:rsidRPr="00585F0E">
        <w:rPr>
          <w:b/>
          <w:bCs/>
          <w:i/>
          <w:sz w:val="22"/>
          <w:szCs w:val="22"/>
        </w:rPr>
        <w:t>Pollutants</w:t>
      </w:r>
    </w:p>
    <w:p w14:paraId="7C00E46A" w14:textId="795CF47D" w:rsidR="00AE2B32" w:rsidRDefault="00C73D7E" w:rsidP="007719C5">
      <w:pPr>
        <w:spacing w:line="480" w:lineRule="auto"/>
        <w:rPr>
          <w:bCs/>
          <w:sz w:val="22"/>
          <w:szCs w:val="22"/>
        </w:rPr>
      </w:pPr>
      <w:r>
        <w:rPr>
          <w:bCs/>
          <w:sz w:val="22"/>
          <w:szCs w:val="22"/>
        </w:rPr>
        <w:t>High-resolution (1 km) a</w:t>
      </w:r>
      <w:r w:rsidR="00201E1D">
        <w:rPr>
          <w:bCs/>
          <w:sz w:val="22"/>
          <w:szCs w:val="22"/>
        </w:rPr>
        <w:t>nnual</w:t>
      </w:r>
      <w:r w:rsidR="001149A1">
        <w:rPr>
          <w:bCs/>
          <w:sz w:val="22"/>
          <w:szCs w:val="22"/>
        </w:rPr>
        <w:t xml:space="preserve"> PM</w:t>
      </w:r>
      <w:r w:rsidR="001149A1" w:rsidRPr="001149A1">
        <w:rPr>
          <w:bCs/>
          <w:sz w:val="22"/>
          <w:szCs w:val="22"/>
          <w:vertAlign w:val="subscript"/>
        </w:rPr>
        <w:t>2.5</w:t>
      </w:r>
      <w:r w:rsidR="001149A1">
        <w:rPr>
          <w:bCs/>
          <w:sz w:val="22"/>
          <w:szCs w:val="22"/>
        </w:rPr>
        <w:t xml:space="preserve"> </w:t>
      </w:r>
      <w:r w:rsidR="00301BCC">
        <w:rPr>
          <w:bCs/>
          <w:sz w:val="22"/>
          <w:szCs w:val="22"/>
        </w:rPr>
        <w:t xml:space="preserve">was from the space-time extremely randomized </w:t>
      </w:r>
      <w:r w:rsidR="00932493">
        <w:rPr>
          <w:rFonts w:hint="eastAsia"/>
          <w:bCs/>
          <w:sz w:val="22"/>
          <w:szCs w:val="22"/>
        </w:rPr>
        <w:t>trees</w:t>
      </w:r>
      <w:r w:rsidR="00D715FC">
        <w:rPr>
          <w:bCs/>
          <w:sz w:val="22"/>
          <w:szCs w:val="22"/>
        </w:rPr>
        <w:t xml:space="preserve"> </w:t>
      </w:r>
      <w:r w:rsidR="00301BCC">
        <w:rPr>
          <w:bCs/>
          <w:sz w:val="22"/>
          <w:szCs w:val="22"/>
        </w:rPr>
        <w:t xml:space="preserve">model </w:t>
      </w:r>
      <w:r w:rsidR="00924B34">
        <w:rPr>
          <w:bCs/>
          <w:sz w:val="22"/>
          <w:szCs w:val="22"/>
        </w:rPr>
        <w:t>th</w:t>
      </w:r>
      <w:r w:rsidR="003F3599">
        <w:rPr>
          <w:bCs/>
          <w:sz w:val="22"/>
          <w:szCs w:val="22"/>
        </w:rPr>
        <w:t>at</w:t>
      </w:r>
      <w:r w:rsidR="00924B34">
        <w:rPr>
          <w:bCs/>
          <w:sz w:val="22"/>
          <w:szCs w:val="22"/>
        </w:rPr>
        <w:t xml:space="preserve"> integrated total column aerosol depth retrievals </w:t>
      </w:r>
      <w:r w:rsidR="003F3599">
        <w:rPr>
          <w:bCs/>
          <w:sz w:val="22"/>
          <w:szCs w:val="22"/>
        </w:rPr>
        <w:t>from the Moderate Resolution Imaging Spectroradiometer (MODIS)</w:t>
      </w:r>
      <w:r w:rsidR="00C83F37">
        <w:rPr>
          <w:bCs/>
          <w:sz w:val="22"/>
          <w:szCs w:val="22"/>
        </w:rPr>
        <w:t xml:space="preserve"> of </w:t>
      </w:r>
      <w:r w:rsidR="00C83F37">
        <w:rPr>
          <w:sz w:val="22"/>
          <w:szCs w:val="22"/>
        </w:rPr>
        <w:t xml:space="preserve">the </w:t>
      </w:r>
      <w:r w:rsidR="00C83F37" w:rsidRPr="004035B4">
        <w:rPr>
          <w:sz w:val="22"/>
          <w:szCs w:val="22"/>
        </w:rPr>
        <w:t>National Aeronautics and Space Administration</w:t>
      </w:r>
      <w:r w:rsidR="00C83F37">
        <w:rPr>
          <w:sz w:val="22"/>
          <w:szCs w:val="22"/>
        </w:rPr>
        <w:t xml:space="preserve"> (NASA)</w:t>
      </w:r>
      <w:r w:rsidR="00C83F37" w:rsidRPr="00C83F37">
        <w:rPr>
          <w:sz w:val="22"/>
          <w:szCs w:val="22"/>
        </w:rPr>
        <w:t xml:space="preserve"> </w:t>
      </w:r>
      <w:r w:rsidR="00C83F37">
        <w:rPr>
          <w:sz w:val="22"/>
          <w:szCs w:val="22"/>
        </w:rPr>
        <w:t xml:space="preserve">’s Terra </w:t>
      </w:r>
      <w:r w:rsidR="008640D2">
        <w:rPr>
          <w:sz w:val="22"/>
          <w:szCs w:val="22"/>
        </w:rPr>
        <w:t xml:space="preserve">and Aqua </w:t>
      </w:r>
      <w:r w:rsidR="00C83F37">
        <w:rPr>
          <w:sz w:val="22"/>
          <w:szCs w:val="22"/>
        </w:rPr>
        <w:t>satellite</w:t>
      </w:r>
      <w:r w:rsidR="008640D2">
        <w:rPr>
          <w:sz w:val="22"/>
          <w:szCs w:val="22"/>
        </w:rPr>
        <w:t xml:space="preserve"> </w:t>
      </w:r>
      <w:r w:rsidR="009D4992">
        <w:rPr>
          <w:sz w:val="22"/>
          <w:szCs w:val="22"/>
        </w:rPr>
        <w:t>[16, 17]</w:t>
      </w:r>
      <w:r w:rsidR="003F3599">
        <w:rPr>
          <w:bCs/>
          <w:sz w:val="22"/>
          <w:szCs w:val="22"/>
        </w:rPr>
        <w:t xml:space="preserve">. </w:t>
      </w:r>
      <w:r w:rsidR="00E31BED">
        <w:rPr>
          <w:bCs/>
          <w:sz w:val="22"/>
          <w:szCs w:val="22"/>
        </w:rPr>
        <w:t>The annual PM</w:t>
      </w:r>
      <w:r w:rsidR="00E31BED" w:rsidRPr="00155244">
        <w:rPr>
          <w:bCs/>
          <w:sz w:val="22"/>
          <w:szCs w:val="22"/>
          <w:vertAlign w:val="subscript"/>
        </w:rPr>
        <w:t>2.5</w:t>
      </w:r>
      <w:r w:rsidR="00E31BED">
        <w:rPr>
          <w:bCs/>
          <w:sz w:val="22"/>
          <w:szCs w:val="22"/>
        </w:rPr>
        <w:t xml:space="preserve"> were </w:t>
      </w:r>
      <w:r w:rsidR="00E04DA1">
        <w:rPr>
          <w:bCs/>
          <w:sz w:val="22"/>
          <w:szCs w:val="22"/>
        </w:rPr>
        <w:t xml:space="preserve">synthesized from the daily </w:t>
      </w:r>
      <w:r w:rsidR="00C14217">
        <w:rPr>
          <w:rFonts w:hint="eastAsia"/>
          <w:bCs/>
          <w:sz w:val="22"/>
          <w:szCs w:val="22"/>
        </w:rPr>
        <w:t>PM</w:t>
      </w:r>
      <w:r w:rsidR="00C14217" w:rsidRPr="00155244">
        <w:rPr>
          <w:bCs/>
          <w:sz w:val="22"/>
          <w:szCs w:val="22"/>
          <w:vertAlign w:val="subscript"/>
        </w:rPr>
        <w:t>2.5</w:t>
      </w:r>
      <w:r w:rsidR="00C14217">
        <w:rPr>
          <w:bCs/>
          <w:sz w:val="22"/>
          <w:szCs w:val="22"/>
        </w:rPr>
        <w:t xml:space="preserve"> </w:t>
      </w:r>
      <w:r w:rsidR="00E04DA1">
        <w:rPr>
          <w:bCs/>
          <w:sz w:val="22"/>
          <w:szCs w:val="22"/>
        </w:rPr>
        <w:t xml:space="preserve">data </w:t>
      </w:r>
      <w:r w:rsidR="00794D76">
        <w:rPr>
          <w:rFonts w:hint="eastAsia"/>
          <w:bCs/>
          <w:sz w:val="22"/>
          <w:szCs w:val="22"/>
        </w:rPr>
        <w:t>of</w:t>
      </w:r>
      <w:r w:rsidR="00E04DA1">
        <w:rPr>
          <w:bCs/>
          <w:sz w:val="22"/>
          <w:szCs w:val="22"/>
        </w:rPr>
        <w:t xml:space="preserve"> MODIS AOD and a large number of auxiliary </w:t>
      </w:r>
      <w:r w:rsidR="002F5A8A">
        <w:rPr>
          <w:bCs/>
          <w:sz w:val="22"/>
          <w:szCs w:val="22"/>
        </w:rPr>
        <w:t xml:space="preserve">data, including meteorological conditions, human distribution, and pollution emission, using </w:t>
      </w:r>
      <w:r w:rsidR="00AD673E">
        <w:rPr>
          <w:bCs/>
          <w:sz w:val="22"/>
          <w:szCs w:val="22"/>
        </w:rPr>
        <w:t>the method proposed in our previous study</w:t>
      </w:r>
      <w:r w:rsidR="00821DD8">
        <w:rPr>
          <w:bCs/>
          <w:sz w:val="22"/>
          <w:szCs w:val="22"/>
        </w:rPr>
        <w:t xml:space="preserve"> </w:t>
      </w:r>
      <w:r w:rsidR="00701309">
        <w:rPr>
          <w:bCs/>
          <w:sz w:val="22"/>
          <w:szCs w:val="22"/>
        </w:rPr>
        <w:fldChar w:fldCharType="begin"/>
      </w:r>
      <w:r w:rsidR="004C78BF">
        <w:rPr>
          <w:bCs/>
          <w:sz w:val="22"/>
          <w:szCs w:val="22"/>
        </w:rPr>
        <w:instrText xml:space="preserve"> ADDIN ZOTERO_ITEM CSL_CITATION {"citationID":"6De0kw6A","properties":{"formattedCitation":"[16]","plainCitation":"[16]","noteIndex":0},"citationItems":[{"id":872,"uris":["http://zotero.org/users/4920080/items/ET7MEJR6"],"uri":["http://zotero.org/users/4920080/items/ET7MEJR6"],"itemData":{"id":872,"type":"article-journal","container-title":"Remote Sensing of Environment","page":"112-136","title":"Reconstructing 1-km-resolution high-quality PM2.5 data records from 2000 to 2018 in China: spatiotemporal variations and policy implications.","volume":"252","author":[{"family":"Wei","given":"Jing"},{"family":"Li","given":"Zhanqing"},{"family":"Lyapustin","given":"Alexi"},{"family":"Sun","given":"Lin"},{"family":"Peng","given":"Yiran"},{"family":"Xue","given":"Wenhao"},{"family":"Su","given":"Tianning"},{"family":"Cribb","given":"Maureen"}],"issued":{"date-parts":[["2021",1,1]]}}}],"schema":"https://github.com/citation-style-language/schema/raw/master/csl-citation.json"} </w:instrText>
      </w:r>
      <w:r w:rsidR="00701309">
        <w:rPr>
          <w:bCs/>
          <w:sz w:val="22"/>
          <w:szCs w:val="22"/>
        </w:rPr>
        <w:fldChar w:fldCharType="separate"/>
      </w:r>
      <w:r w:rsidR="004C78BF">
        <w:rPr>
          <w:bCs/>
          <w:noProof/>
          <w:sz w:val="22"/>
          <w:szCs w:val="22"/>
        </w:rPr>
        <w:t>[16]</w:t>
      </w:r>
      <w:r w:rsidR="00701309">
        <w:rPr>
          <w:bCs/>
          <w:sz w:val="22"/>
          <w:szCs w:val="22"/>
        </w:rPr>
        <w:fldChar w:fldCharType="end"/>
      </w:r>
      <w:r w:rsidR="00AD673E">
        <w:rPr>
          <w:bCs/>
          <w:sz w:val="22"/>
          <w:szCs w:val="22"/>
        </w:rPr>
        <w:t xml:space="preserve">. </w:t>
      </w:r>
      <w:r w:rsidR="00B3479D">
        <w:rPr>
          <w:bCs/>
          <w:sz w:val="22"/>
          <w:szCs w:val="22"/>
        </w:rPr>
        <w:t>The estimate</w:t>
      </w:r>
      <w:r w:rsidR="003F3599">
        <w:rPr>
          <w:bCs/>
          <w:sz w:val="22"/>
          <w:szCs w:val="22"/>
        </w:rPr>
        <w:t>d</w:t>
      </w:r>
      <w:r>
        <w:rPr>
          <w:bCs/>
          <w:sz w:val="22"/>
          <w:szCs w:val="22"/>
        </w:rPr>
        <w:t xml:space="preserve"> annual mean</w:t>
      </w:r>
      <w:r w:rsidR="003F3599">
        <w:rPr>
          <w:bCs/>
          <w:sz w:val="22"/>
          <w:szCs w:val="22"/>
        </w:rPr>
        <w:t xml:space="preserve"> PM</w:t>
      </w:r>
      <w:r w:rsidR="003F3599" w:rsidRPr="001149A1">
        <w:rPr>
          <w:bCs/>
          <w:sz w:val="22"/>
          <w:szCs w:val="22"/>
          <w:vertAlign w:val="subscript"/>
        </w:rPr>
        <w:t>2.5</w:t>
      </w:r>
      <w:r w:rsidR="003F3599">
        <w:rPr>
          <w:bCs/>
          <w:sz w:val="22"/>
          <w:szCs w:val="22"/>
        </w:rPr>
        <w:t xml:space="preserve"> were</w:t>
      </w:r>
      <w:r w:rsidR="00B3479D">
        <w:rPr>
          <w:bCs/>
          <w:sz w:val="22"/>
          <w:szCs w:val="22"/>
        </w:rPr>
        <w:t xml:space="preserve"> highly </w:t>
      </w:r>
      <w:r w:rsidR="00350F3A">
        <w:rPr>
          <w:bCs/>
          <w:sz w:val="22"/>
          <w:szCs w:val="22"/>
        </w:rPr>
        <w:t>consistent</w:t>
      </w:r>
      <w:r w:rsidR="00B3479D">
        <w:rPr>
          <w:bCs/>
          <w:sz w:val="22"/>
          <w:szCs w:val="22"/>
        </w:rPr>
        <w:t xml:space="preserve"> </w:t>
      </w:r>
      <w:r>
        <w:rPr>
          <w:bCs/>
          <w:sz w:val="22"/>
          <w:szCs w:val="22"/>
        </w:rPr>
        <w:t xml:space="preserve">the ground-based measurements </w:t>
      </w:r>
      <w:r w:rsidR="00AE0B3D">
        <w:rPr>
          <w:bCs/>
          <w:sz w:val="22"/>
          <w:szCs w:val="22"/>
        </w:rPr>
        <w:t>with</w:t>
      </w:r>
      <w:r>
        <w:rPr>
          <w:bCs/>
          <w:sz w:val="22"/>
          <w:szCs w:val="22"/>
        </w:rPr>
        <w:t xml:space="preserve"> a high correlation coefficient</w:t>
      </w:r>
      <w:r w:rsidR="00B3479D">
        <w:rPr>
          <w:bCs/>
          <w:sz w:val="22"/>
          <w:szCs w:val="22"/>
        </w:rPr>
        <w:t xml:space="preserve"> </w:t>
      </w:r>
      <w:r w:rsidR="00350F3A">
        <w:rPr>
          <w:bCs/>
          <w:sz w:val="22"/>
          <w:szCs w:val="22"/>
        </w:rPr>
        <w:t>(</w:t>
      </w:r>
      <w:r w:rsidR="00B3479D" w:rsidRPr="00B3479D">
        <w:rPr>
          <w:bCs/>
          <w:i/>
          <w:sz w:val="22"/>
          <w:szCs w:val="22"/>
        </w:rPr>
        <w:t>R</w:t>
      </w:r>
      <w:r w:rsidR="00B3479D" w:rsidRPr="00B3479D">
        <w:rPr>
          <w:bCs/>
          <w:sz w:val="22"/>
          <w:szCs w:val="22"/>
          <w:vertAlign w:val="superscript"/>
        </w:rPr>
        <w:t>2</w:t>
      </w:r>
      <w:r w:rsidR="00B3479D">
        <w:rPr>
          <w:bCs/>
          <w:sz w:val="22"/>
          <w:szCs w:val="22"/>
        </w:rPr>
        <w:t xml:space="preserve"> = 0.</w:t>
      </w:r>
      <w:r>
        <w:rPr>
          <w:bCs/>
          <w:sz w:val="22"/>
          <w:szCs w:val="22"/>
        </w:rPr>
        <w:t>9</w:t>
      </w:r>
      <w:r w:rsidR="00AA1384">
        <w:rPr>
          <w:bCs/>
          <w:sz w:val="22"/>
          <w:szCs w:val="22"/>
        </w:rPr>
        <w:t>4</w:t>
      </w:r>
      <w:r w:rsidR="00350F3A">
        <w:rPr>
          <w:bCs/>
          <w:sz w:val="22"/>
          <w:szCs w:val="22"/>
        </w:rPr>
        <w:t xml:space="preserve">) in China </w:t>
      </w:r>
      <w:r w:rsidR="00350F3A">
        <w:rPr>
          <w:bCs/>
          <w:sz w:val="22"/>
          <w:szCs w:val="22"/>
        </w:rPr>
        <w:fldChar w:fldCharType="begin"/>
      </w:r>
      <w:r w:rsidR="004C78BF">
        <w:rPr>
          <w:bCs/>
          <w:sz w:val="22"/>
          <w:szCs w:val="22"/>
        </w:rPr>
        <w:instrText xml:space="preserve"> ADDIN ZOTERO_ITEM CSL_CITATION {"citationID":"HFq9WGvI","properties":{"formattedCitation":"[17]","plainCitation":"[17]","noteIndex":0},"citationItems":[{"id":238,"uris":["http://zotero.org/users/4920080/items/7NDY8RGJ"],"uri":["http://zotero.org/users/4920080/items/7NDY8RGJ"],"itemData":{"id":238,"type":"article-journal","abstract":"&lt;p&gt;&lt;strong&gt;Abstract.&lt;/strong&gt; Fine particulate matter with aerodynamic diameters &lt;span class=\"inline-formula\"&gt;≤2.5&lt;/span&gt;&amp;thinsp;&lt;span class=\"inline-formula\"&gt;µ&lt;/span&gt;m (PM&lt;span class=\"inline-formula\"&gt;&lt;sub&gt;2.5&lt;/sub&gt;&lt;/span&gt;) has adverse effects on human health and the atmospheric environment. The estimation of surface PM&lt;span class=\"inline-formula\"&gt;&lt;sub&gt;2.5&lt;/sub&gt;&lt;/span&gt; concentrations has made intensive use of satellite-derived aerosol products. However, it has been a great challenge to obtain high-quality and high-resolution PM&lt;span class=\"inline-formula\"&gt;&lt;sub&gt;2.5&lt;/sub&gt;&lt;/span&gt; data from both ground and satellite observations, which is essential to monitor air pollution over small-scale areas such as metropolitan regions. Here, the space–time extremely randomized trees (STET) model was enhanced by integrating updated spatiotemporal information and additional auxiliary data to improve the spatial resolution and overall accuracy of PM&lt;span class=\"inline-formula\"&gt;&lt;sub&gt;2.5&lt;/sub&gt;&lt;/span&gt; estimates across China. To this end, the newly released Moderate Resolution Imaging Spectroradiometer Multi-Angle Implementation of Atmospheric Correction AOD product, along with meteorological, topographical and land-use data and pollution emissions, was input to the STET model, and daily 1&amp;thinsp;km PM&lt;span class=\"inline-formula\"&gt;&lt;sub&gt;2.5&lt;/sub&gt;&lt;/span&gt; maps for 2018 covering mainland China were produced. The STET model performed well, with a high out-of-sample (out-of-station) cross-validation coefficient of determination (&lt;span class=\"inline-formula\"&gt;&lt;i&gt;R&lt;/i&gt;&lt;sup&gt;2&lt;/sup&gt;&lt;/span&gt;) of 0.89 (0.88), a low root-mean-square error of 10.33 (10.93)&amp;thinsp;&lt;span class=\"inline-formula\"&gt;µ&lt;/span&gt;g&amp;thinsp;m&lt;span class=\"inline-formula\"&gt;&lt;sup&gt;−3&lt;/sup&gt;&lt;/span&gt;, a small mean absolute error of 6.69 (7.15)&amp;thinsp;&lt;span class=\"inline-formula\"&gt;µ&lt;/span&gt;g&amp;thinsp;m&lt;span class=\"inline-formula\"&gt;&lt;sup&gt;−3&lt;/sup&gt;&lt;/span&gt; and a small mean relative error of 21.28&amp;thinsp;% (23.69&amp;thinsp;%). In particular, the model captured well the PM&lt;span class=\"inline-formula\"&gt;&lt;sub&gt;2.5&lt;/sub&gt;&lt;/span&gt; concentrations at both regional and individual site scales. The North China Plain, the Sichuan Basin and Xinjiang Province always featured high PM&lt;span class=\"inline-formula\"&gt;&lt;sub&gt;2.5&lt;/sub&gt;&lt;/span&gt; pollution levels, especially in winter. The STET model outperformed most models presented in previous related studies, with a strong predictive power (e.g., monthly &lt;span class=\"inline-formula\"&gt;&lt;i&gt;R&lt;/i&gt;&lt;sup&gt;2&lt;/sup&gt;=0.80&lt;/span&gt;), which can be used to estimate historical PM&lt;span class=\"inline-formula\"&gt;&lt;sub&gt;2.5&lt;/sub&gt;&lt;/span&gt; records. More importantly, this study provides a new approach for obtaining high-resolution and high-quality PM&lt;span class=\"inline-formula\"&gt;&lt;sub&gt;2.5&lt;/sub&gt;&lt;/span&gt; dataset across mainland China (i.e., ChinaHighPM&lt;span class=\"inline-formula\"&gt;&lt;sub&gt;2.5&lt;/sub&gt;&lt;/span&gt;), important for air pollution studies focused on urban areas.&lt;/p&gt;","container-title":"Atmospheric Chemistry and Physics","DOI":"https://doi.org/10.5194/acp-20-3273-2020","ISSN":"1680-7316","issue":"6","language":"English","note":"publisher: Copernicus GmbH","page":"3273-3289","source":"www.atmos-chem-phys.net","title":"Improved 1&amp;thinsp;km resolution PM&lt;sub&gt;2.5&lt;/sub&gt; estimates across China using enhanced space–time extremely randomized trees","volume":"20","author":[{"family":"Wei","given":"Jing"},{"family":"Li","given":"Zhanqing"},{"family":"Cribb","given":"Maureen"},{"family":"Huang","given":"Wei"},{"family":"Xue","given":"Wenhao"},{"family":"Sun","given":"Lin"},{"family":"Guo","given":"Jianping"},{"family":"Peng","given":"Yiran"},{"family":"Li","given":"Jing"},{"family":"Lyapustin","given":"Alexei"},{"family":"Liu","given":"Lei"},{"family":"Wu","given":"Hao"},{"family":"Song","given":"Yimeng"}],"issued":{"date-parts":[["2020",3,19]]}}}],"schema":"https://github.com/citation-style-language/schema/raw/master/csl-citation.json"} </w:instrText>
      </w:r>
      <w:r w:rsidR="00350F3A">
        <w:rPr>
          <w:bCs/>
          <w:sz w:val="22"/>
          <w:szCs w:val="22"/>
        </w:rPr>
        <w:fldChar w:fldCharType="separate"/>
      </w:r>
      <w:r w:rsidR="004C78BF">
        <w:rPr>
          <w:bCs/>
          <w:noProof/>
          <w:sz w:val="22"/>
          <w:szCs w:val="22"/>
        </w:rPr>
        <w:t>[17]</w:t>
      </w:r>
      <w:r w:rsidR="00350F3A">
        <w:rPr>
          <w:bCs/>
          <w:sz w:val="22"/>
          <w:szCs w:val="22"/>
        </w:rPr>
        <w:fldChar w:fldCharType="end"/>
      </w:r>
      <w:r w:rsidR="00B3479D">
        <w:rPr>
          <w:bCs/>
          <w:sz w:val="22"/>
          <w:szCs w:val="22"/>
        </w:rPr>
        <w:t xml:space="preserve">. </w:t>
      </w:r>
      <w:r w:rsidR="003F3599">
        <w:rPr>
          <w:bCs/>
          <w:sz w:val="22"/>
          <w:szCs w:val="22"/>
        </w:rPr>
        <w:t xml:space="preserve">Additionally, </w:t>
      </w:r>
      <w:r w:rsidR="003F3599">
        <w:rPr>
          <w:bCs/>
          <w:sz w:val="22"/>
          <w:szCs w:val="22"/>
        </w:rPr>
        <w:lastRenderedPageBreak/>
        <w:t>we calculated the combined oxidant capacity (O</w:t>
      </w:r>
      <w:r w:rsidR="003F3599" w:rsidRPr="002F5C2A">
        <w:rPr>
          <w:bCs/>
          <w:sz w:val="22"/>
          <w:szCs w:val="22"/>
          <w:vertAlign w:val="subscript"/>
        </w:rPr>
        <w:t>x</w:t>
      </w:r>
      <w:r w:rsidR="003F3599">
        <w:rPr>
          <w:bCs/>
          <w:sz w:val="22"/>
          <w:szCs w:val="22"/>
        </w:rPr>
        <w:t>) of O</w:t>
      </w:r>
      <w:r w:rsidR="003F3599" w:rsidRPr="002E7861">
        <w:rPr>
          <w:bCs/>
          <w:sz w:val="22"/>
          <w:szCs w:val="22"/>
          <w:vertAlign w:val="subscript"/>
        </w:rPr>
        <w:t>3</w:t>
      </w:r>
      <w:r w:rsidR="003F3599">
        <w:rPr>
          <w:bCs/>
          <w:sz w:val="22"/>
          <w:szCs w:val="22"/>
        </w:rPr>
        <w:t xml:space="preserve"> and NO</w:t>
      </w:r>
      <w:r w:rsidR="003F3599" w:rsidRPr="002E7861">
        <w:rPr>
          <w:bCs/>
          <w:sz w:val="22"/>
          <w:szCs w:val="22"/>
          <w:vertAlign w:val="subscript"/>
        </w:rPr>
        <w:t>2</w:t>
      </w:r>
      <w:r w:rsidR="003F3599">
        <w:rPr>
          <w:bCs/>
          <w:sz w:val="22"/>
          <w:szCs w:val="22"/>
        </w:rPr>
        <w:t xml:space="preserve"> </w:t>
      </w:r>
      <w:r w:rsidR="002F5C2A">
        <w:rPr>
          <w:bCs/>
          <w:sz w:val="22"/>
          <w:szCs w:val="22"/>
        </w:rPr>
        <w:t>as a weighted average with weights equivalent to their respective redox potentials (i.e. O</w:t>
      </w:r>
      <w:r w:rsidR="002F5C2A" w:rsidRPr="002F5C2A">
        <w:rPr>
          <w:bCs/>
          <w:sz w:val="22"/>
          <w:szCs w:val="22"/>
          <w:vertAlign w:val="subscript"/>
        </w:rPr>
        <w:t>x</w:t>
      </w:r>
      <w:r w:rsidR="002F5C2A">
        <w:rPr>
          <w:bCs/>
          <w:sz w:val="22"/>
          <w:szCs w:val="22"/>
        </w:rPr>
        <w:t xml:space="preserve"> = [(1.07 x NO</w:t>
      </w:r>
      <w:r w:rsidR="002F5C2A" w:rsidRPr="002F5C2A">
        <w:rPr>
          <w:bCs/>
          <w:sz w:val="22"/>
          <w:szCs w:val="22"/>
          <w:vertAlign w:val="subscript"/>
        </w:rPr>
        <w:t>2</w:t>
      </w:r>
      <w:r w:rsidR="002F5C2A">
        <w:rPr>
          <w:bCs/>
          <w:sz w:val="22"/>
          <w:szCs w:val="22"/>
        </w:rPr>
        <w:t>) + (2.075 x O</w:t>
      </w:r>
      <w:r w:rsidR="002F5C2A" w:rsidRPr="002F5C2A">
        <w:rPr>
          <w:bCs/>
          <w:sz w:val="22"/>
          <w:szCs w:val="22"/>
          <w:vertAlign w:val="subscript"/>
        </w:rPr>
        <w:t>3</w:t>
      </w:r>
      <w:r w:rsidR="002F5C2A">
        <w:rPr>
          <w:bCs/>
          <w:sz w:val="22"/>
          <w:szCs w:val="22"/>
        </w:rPr>
        <w:t xml:space="preserve">)]/3.145) </w:t>
      </w:r>
      <w:r w:rsidR="002F5C2A">
        <w:rPr>
          <w:bCs/>
          <w:sz w:val="22"/>
          <w:szCs w:val="22"/>
        </w:rPr>
        <w:fldChar w:fldCharType="begin"/>
      </w:r>
      <w:r w:rsidR="004C78BF">
        <w:rPr>
          <w:bCs/>
          <w:sz w:val="22"/>
          <w:szCs w:val="22"/>
        </w:rPr>
        <w:instrText xml:space="preserve"> ADDIN ZOTERO_ITEM CSL_CITATION {"citationID":"QI48xpOH","properties":{"formattedCitation":"[18]","plainCitation":"[18]","noteIndex":0},"citationItems":[{"id":236,"uris":["http://zotero.org/users/4920080/items/WLMQW9SL"],"uri":["http://zotero.org/users/4920080/items/WLMQW9SL"],"itemData":{"id":236,"type":"article-journal","container-title":"Journal of Physical and Chemical Reference Data","DOI":"10.1063/1.555839","ISSN":"0047-2689","issue":"1","journalAbbreviation":"Journal of Physical and Chemical Reference Data","note":"publisher: American Institute of Physics","page":"1-21","source":"aip.scitation.org (Atypon)","title":"Standard Electrode Potentials and Temperature Coefficients in Water at 298.15 K","volume":"18","author":[{"family":"Bratsch","given":"Steven G."}],"issued":{"date-parts":[["1989",1,1]]}}}],"schema":"https://github.com/citation-style-language/schema/raw/master/csl-citation.json"} </w:instrText>
      </w:r>
      <w:r w:rsidR="002F5C2A">
        <w:rPr>
          <w:bCs/>
          <w:sz w:val="22"/>
          <w:szCs w:val="22"/>
        </w:rPr>
        <w:fldChar w:fldCharType="separate"/>
      </w:r>
      <w:r w:rsidR="004C78BF">
        <w:rPr>
          <w:bCs/>
          <w:noProof/>
          <w:sz w:val="22"/>
          <w:szCs w:val="22"/>
        </w:rPr>
        <w:t>[18]</w:t>
      </w:r>
      <w:r w:rsidR="002F5C2A">
        <w:rPr>
          <w:bCs/>
          <w:sz w:val="22"/>
          <w:szCs w:val="22"/>
        </w:rPr>
        <w:fldChar w:fldCharType="end"/>
      </w:r>
      <w:r w:rsidR="002F5C2A">
        <w:rPr>
          <w:bCs/>
          <w:sz w:val="22"/>
          <w:szCs w:val="22"/>
        </w:rPr>
        <w:t xml:space="preserve">. </w:t>
      </w:r>
      <w:r w:rsidR="003F3599">
        <w:rPr>
          <w:bCs/>
          <w:sz w:val="22"/>
          <w:szCs w:val="22"/>
        </w:rPr>
        <w:t>Daily NO</w:t>
      </w:r>
      <w:r w:rsidR="003F3599" w:rsidRPr="002E7861">
        <w:rPr>
          <w:bCs/>
          <w:sz w:val="22"/>
          <w:szCs w:val="22"/>
          <w:vertAlign w:val="subscript"/>
        </w:rPr>
        <w:t>2</w:t>
      </w:r>
      <w:r w:rsidR="003F3599">
        <w:rPr>
          <w:bCs/>
          <w:sz w:val="22"/>
          <w:szCs w:val="22"/>
        </w:rPr>
        <w:t xml:space="preserve"> and O</w:t>
      </w:r>
      <w:r w:rsidR="003F3599" w:rsidRPr="002E7861">
        <w:rPr>
          <w:bCs/>
          <w:sz w:val="22"/>
          <w:szCs w:val="22"/>
          <w:vertAlign w:val="subscript"/>
        </w:rPr>
        <w:t>3</w:t>
      </w:r>
      <w:r w:rsidR="003F3599">
        <w:rPr>
          <w:bCs/>
          <w:sz w:val="22"/>
          <w:szCs w:val="22"/>
        </w:rPr>
        <w:t xml:space="preserve"> were obtained from the National Air Quality Network of the Chinese Ministry of Environmental Protection. The annual concentration</w:t>
      </w:r>
      <w:r w:rsidR="006139A8">
        <w:rPr>
          <w:bCs/>
          <w:sz w:val="22"/>
          <w:szCs w:val="22"/>
        </w:rPr>
        <w:t>s</w:t>
      </w:r>
      <w:r w:rsidR="003F3599">
        <w:rPr>
          <w:bCs/>
          <w:sz w:val="22"/>
          <w:szCs w:val="22"/>
        </w:rPr>
        <w:t xml:space="preserve"> of NO</w:t>
      </w:r>
      <w:r w:rsidR="003F3599" w:rsidRPr="003F3599">
        <w:rPr>
          <w:bCs/>
          <w:sz w:val="22"/>
          <w:szCs w:val="22"/>
          <w:vertAlign w:val="subscript"/>
        </w:rPr>
        <w:t>2</w:t>
      </w:r>
      <w:r w:rsidR="003F3599">
        <w:rPr>
          <w:bCs/>
          <w:sz w:val="22"/>
          <w:szCs w:val="22"/>
        </w:rPr>
        <w:t xml:space="preserve"> were </w:t>
      </w:r>
      <w:r w:rsidR="00AE2B32">
        <w:rPr>
          <w:bCs/>
          <w:sz w:val="22"/>
          <w:szCs w:val="22"/>
        </w:rPr>
        <w:t xml:space="preserve">derived from a temporally adjusted national land-use regression model that combined </w:t>
      </w:r>
      <w:r w:rsidR="001A1944">
        <w:rPr>
          <w:bCs/>
          <w:sz w:val="22"/>
          <w:szCs w:val="22"/>
        </w:rPr>
        <w:t>1,500</w:t>
      </w:r>
      <w:r w:rsidR="00AE2B32">
        <w:rPr>
          <w:bCs/>
          <w:sz w:val="22"/>
          <w:szCs w:val="22"/>
        </w:rPr>
        <w:t xml:space="preserve"> fixed-site </w:t>
      </w:r>
      <w:r w:rsidR="001A1944">
        <w:rPr>
          <w:bCs/>
          <w:sz w:val="22"/>
          <w:szCs w:val="22"/>
        </w:rPr>
        <w:t xml:space="preserve">nationwide </w:t>
      </w:r>
      <w:r w:rsidR="00AE2B32">
        <w:rPr>
          <w:bCs/>
          <w:sz w:val="22"/>
          <w:szCs w:val="22"/>
        </w:rPr>
        <w:t>monitoring data, satellite NO</w:t>
      </w:r>
      <w:r w:rsidR="00AE2B32" w:rsidRPr="002E7861">
        <w:rPr>
          <w:bCs/>
          <w:sz w:val="22"/>
          <w:szCs w:val="22"/>
          <w:vertAlign w:val="subscript"/>
        </w:rPr>
        <w:t>2</w:t>
      </w:r>
      <w:r w:rsidR="00AE2B32">
        <w:rPr>
          <w:bCs/>
          <w:sz w:val="22"/>
          <w:szCs w:val="22"/>
        </w:rPr>
        <w:t xml:space="preserve"> estimates, road length within 10 km, industrial land-use areas </w:t>
      </w:r>
      <w:r w:rsidR="00AE2B32">
        <w:rPr>
          <w:rFonts w:hint="eastAsia"/>
          <w:bCs/>
          <w:sz w:val="22"/>
          <w:szCs w:val="22"/>
        </w:rPr>
        <w:t>with</w:t>
      </w:r>
      <w:r w:rsidR="00AE2B32">
        <w:rPr>
          <w:bCs/>
          <w:sz w:val="22"/>
          <w:szCs w:val="22"/>
        </w:rPr>
        <w:t xml:space="preserve">in various buffers and meteorological factors </w:t>
      </w:r>
      <w:r w:rsidR="00CC4D6F">
        <w:rPr>
          <w:bCs/>
          <w:sz w:val="22"/>
          <w:szCs w:val="22"/>
        </w:rPr>
        <w:fldChar w:fldCharType="begin"/>
      </w:r>
      <w:r w:rsidR="004C78BF">
        <w:rPr>
          <w:bCs/>
          <w:sz w:val="22"/>
          <w:szCs w:val="22"/>
        </w:rPr>
        <w:instrText xml:space="preserve"> ADDIN ZOTERO_ITEM CSL_CITATION {"citationID":"ObO5h0fr","properties":{"formattedCitation":"[19]","plainCitation":"[19]","noteIndex":0},"citationItems":[{"id":233,"uris":["http://zotero.org/users/4920080/items/RNCIV7W9"],"uri":["http://zotero.org/users/4920080/items/RNCIV7W9"],"itemData":{"id":233,"type":"article-journal","abstract":"&lt;p&gt;&lt;strong&gt;Abstract.&lt;/strong&gt; Eastern China (27–41&lt;span class=\"inline-formula\"&gt;&lt;sup&gt;</w:instrText>
      </w:r>
      <w:r w:rsidR="004C78BF">
        <w:rPr>
          <w:rFonts w:ascii="Cambria Math" w:hAnsi="Cambria Math" w:cs="Cambria Math"/>
          <w:bCs/>
          <w:sz w:val="22"/>
          <w:szCs w:val="22"/>
        </w:rPr>
        <w:instrText>∘</w:instrText>
      </w:r>
      <w:r w:rsidR="004C78BF">
        <w:rPr>
          <w:bCs/>
          <w:sz w:val="22"/>
          <w:szCs w:val="22"/>
        </w:rPr>
        <w:instrText>&lt;/sup&gt;&lt;/span&gt;&amp;thinsp;N, 110–123&lt;span class=\"inline-formula\"&gt;&lt;sup&gt;</w:instrText>
      </w:r>
      <w:r w:rsidR="004C78BF">
        <w:rPr>
          <w:rFonts w:ascii="Cambria Math" w:hAnsi="Cambria Math" w:cs="Cambria Math"/>
          <w:bCs/>
          <w:sz w:val="22"/>
          <w:szCs w:val="22"/>
        </w:rPr>
        <w:instrText>∘</w:instrText>
      </w:r>
      <w:r w:rsidR="004C78BF">
        <w:rPr>
          <w:bCs/>
          <w:sz w:val="22"/>
          <w:szCs w:val="22"/>
        </w:rPr>
        <w:instrText xml:space="preserve">&lt;/sup&gt;&lt;/span&gt;&amp;thinsp;E) is heavily polluted by nitrogen dioxide (&lt;span class=\"inline-formula\"&gt;NO&lt;sub&gt;2&lt;/sub&gt;&lt;/span&gt;), particulate matter with aerodynamic diameter below 2.5&amp;thinsp;&lt;span class=\"inline-formula\"&gt;µ&lt;/span&gt;m (PM&lt;span class=\"inline-formula\"&gt;&lt;sub&gt;2.5&lt;/sub&gt;&lt;/span&gt;), and other air pollutants. These pollutants vary on a variety of temporal and spatial scales, with many temporal scales that are nonperiodic and nonstationary, challenging proper quantitative characterization and visualization. This study uses a newly compiled EOF–EEMD analysis visualization package to evaluate the spatiotemporal variability of ground-level &lt;span class=\"inline-formula\"&gt;NO&lt;sub&gt;2&lt;/sub&gt;&lt;/span&gt;, PM&lt;span class=\"inline-formula\"&gt;&lt;sub&gt;2.5&lt;/sub&gt;&lt;/span&gt;, and their associations with meteorological processes over Eastern China in fall–winter 2013. Applying the package to observed hourly pollutant data reveals a primary spatial pattern representing Eastern China synchronous variation in time, which is dominated by diurnal variability with a much weaker day-to-day signal. A secondary spatial mode, representing north–south opposing changes in time with no constant period, is characterized by wind-related dilution or a buildup of pollutants from one day to another.&lt;/p&gt; &lt;p&gt;We further evaluate simulations of nested GEOS-Chem v9-02 and WRF/CMAQ v5.0.1 in capturing the spatiotemporal variability of pollutants. GEOS-Chem underestimates &lt;span class=\"inline-formula\"&gt;NO&lt;sub&gt;2&lt;/sub&gt;&lt;/span&gt; by about 17&amp;thinsp;&lt;span class=\"inline-formula\"&gt;µ&lt;/span&gt;g&amp;thinsp;m&lt;span class=\"inline-formula\"&gt;&lt;sup&gt;−3&lt;/sup&gt;&lt;/span&gt; and PM&lt;span class=\"inline-formula\"&gt;&lt;sub&gt;2.5&lt;/sub&gt;&lt;/span&gt; by 35&amp;thinsp;&lt;span class=\"inline-formula\"&gt;µ&lt;/span&gt;g&amp;thinsp;m&lt;span class=\"inline-formula\"&gt;&lt;sup&gt;−3&lt;/sup&gt;&lt;/span&gt; on average over fall–winter 2013. It reproduces the diurnal variability for both pollutants. For the day-to-day variation, GEOS-Chem reproduces the observed north–south contrasting mode for both pollutants but not the Eastern China synchronous mode (especially for &lt;span class=\"inline-formula\"&gt;NO&lt;sub&gt;2&lt;/sub&gt;&lt;/span&gt;). The model errors are due to a first model layer too thick (about 130&amp;thinsp;m) to capture the near-surface vertical gradient, deficiencies in the nighttime nitrogen chemistry in the first layer, and missing secondary organic aerosols and anthropogenic dust. CMAQ overestimates the diurnal cycle of pollutants due to too-weak boundary layer mixing, especially in the nighttime, and overestimates &lt;span class=\"inline-formula\"&gt;NO&lt;sub&gt;2&lt;/sub&gt;&lt;/span&gt; by about 30&amp;thinsp;&lt;span class=\"inline-formula\"&gt;µ&lt;/span&gt;g&amp;thinsp;m&lt;span class=\"inline-formula\"&gt;&lt;sup&gt;−3&lt;/sup&gt;&lt;/span&gt; and PM&lt;span class=\"inline-formula\"&gt;&lt;sub&gt;2.5&lt;/sub&gt;&lt;/span&gt; by 60&amp;thinsp;&lt;span class=\"inline-formula\"&gt;µ&lt;/span&gt;g&amp;thinsp;m&lt;span class=\"inline-formula\"&gt;&lt;sup&gt;−3&lt;/sup&gt;&lt;/span&gt;. For the day-to-day variability, CMAQ reproduces the observed Eastern China synchronous mode but not the north–south opposing mode of &lt;span class=\"inline-formula\"&gt;NO&lt;sub&gt;2&lt;/sub&gt;&lt;/span&gt;. Both models capture the day-to-day variability of PM&lt;span class=\"inline-formula\"&gt;&lt;sub&gt;2.5&lt;/sub&gt;&lt;/span&gt; better than that of &lt;span class=\"inline-formula\"&gt;NO&lt;sub&gt;2&lt;/sub&gt;&lt;/span&gt;. These results shed light on model improvement. The EOF–EEMD package is freely available for noncommercial uses.&lt;/p&gt;","container-title":"Atmospheric Chemistry and Physics","DOI":"https://doi.org/10.5194/acp-18-12933-2018","ISSN":"1680-7316","issue":"17","language":"English","note":"publisher: Copernicus GmbH","page":"12933-12952","source":"www.atmos-chem-phys.net","title":"Spatiotemporal variability of NO&lt;sub&gt;2&lt;/sub&gt; and PM&lt;sub&gt;2.5&lt;/sub&gt; over Eastern China: observational and model analyses with a novel statistical method","title-short":"Spatiotemporal variability of NO&lt;sub&gt;2&lt;/sub&gt; and PM&lt;sub&gt;2.5&lt;/sub&gt; over Eastern China","volume":"18","author":[{"family":"Liu","given":"Mengyao"},{"family":"Lin","given":"Jintai"},{"family":"Wang","given":"Yuchen"},{"family":"Sun","given":"Yang"},{"family":"Zheng","given":"Bo"},{"family":"Shao","given":"Jingyuan"},{"family":"Chen","given":"Lulu"},{"family":"Zheng","given":"Yixuan"},{"family":"Chen","given":"Jinxuan"},{"family":"Fu","given":"Tzung-May"},{"family":"Yan","given":"Yingying"},{"family":"Zhang","given":"Qiang"},{"family":"Wu","given":"Zhaohua"}],"issued":{"date-parts":[["2018",9,7]]}}}],"schema":"https://github.com/citation-style-language/schema/raw/master/csl-citation.json"} </w:instrText>
      </w:r>
      <w:r w:rsidR="00CC4D6F">
        <w:rPr>
          <w:bCs/>
          <w:sz w:val="22"/>
          <w:szCs w:val="22"/>
        </w:rPr>
        <w:fldChar w:fldCharType="separate"/>
      </w:r>
      <w:r w:rsidR="004C78BF">
        <w:rPr>
          <w:bCs/>
          <w:noProof/>
          <w:sz w:val="22"/>
          <w:szCs w:val="22"/>
        </w:rPr>
        <w:t>[19]</w:t>
      </w:r>
      <w:r w:rsidR="00CC4D6F">
        <w:rPr>
          <w:bCs/>
          <w:sz w:val="22"/>
          <w:szCs w:val="22"/>
        </w:rPr>
        <w:fldChar w:fldCharType="end"/>
      </w:r>
      <w:r w:rsidR="00AB7362">
        <w:rPr>
          <w:bCs/>
          <w:sz w:val="22"/>
          <w:szCs w:val="22"/>
        </w:rPr>
        <w:t xml:space="preserve">. </w:t>
      </w:r>
      <w:r w:rsidR="0058139B">
        <w:rPr>
          <w:bCs/>
          <w:sz w:val="22"/>
          <w:szCs w:val="22"/>
        </w:rPr>
        <w:t xml:space="preserve">Ozone exposures were estimated </w:t>
      </w:r>
      <w:r w:rsidR="00054270">
        <w:rPr>
          <w:bCs/>
          <w:sz w:val="22"/>
          <w:szCs w:val="22"/>
        </w:rPr>
        <w:t xml:space="preserve">based on eight-hour average daily maximum concentrations </w:t>
      </w:r>
      <w:r w:rsidR="0058139B">
        <w:rPr>
          <w:bCs/>
          <w:sz w:val="22"/>
          <w:szCs w:val="22"/>
        </w:rPr>
        <w:t xml:space="preserve">by integrating </w:t>
      </w:r>
      <w:r w:rsidR="00054270">
        <w:rPr>
          <w:bCs/>
          <w:sz w:val="22"/>
          <w:szCs w:val="22"/>
        </w:rPr>
        <w:t>monitoring O</w:t>
      </w:r>
      <w:r w:rsidR="00054270" w:rsidRPr="00DA0FBB">
        <w:rPr>
          <w:bCs/>
          <w:sz w:val="22"/>
          <w:szCs w:val="22"/>
          <w:vertAlign w:val="subscript"/>
        </w:rPr>
        <w:t xml:space="preserve">3 </w:t>
      </w:r>
      <w:r w:rsidR="00054270">
        <w:rPr>
          <w:bCs/>
          <w:sz w:val="22"/>
          <w:szCs w:val="22"/>
        </w:rPr>
        <w:t xml:space="preserve">with </w:t>
      </w:r>
      <w:r w:rsidR="0058139B">
        <w:rPr>
          <w:bCs/>
          <w:sz w:val="22"/>
          <w:szCs w:val="22"/>
        </w:rPr>
        <w:t xml:space="preserve">the surface temperature, relative humidity, wind speed and direction, </w:t>
      </w:r>
      <w:r w:rsidR="00DA0FBB">
        <w:rPr>
          <w:bCs/>
          <w:sz w:val="22"/>
          <w:szCs w:val="22"/>
        </w:rPr>
        <w:t>land-use areas</w:t>
      </w:r>
      <w:r w:rsidR="00751390">
        <w:rPr>
          <w:bCs/>
          <w:sz w:val="22"/>
          <w:szCs w:val="22"/>
        </w:rPr>
        <w:t>,</w:t>
      </w:r>
      <w:r w:rsidR="00054270">
        <w:rPr>
          <w:bCs/>
          <w:sz w:val="22"/>
          <w:szCs w:val="22"/>
        </w:rPr>
        <w:t xml:space="preserve"> and </w:t>
      </w:r>
      <w:r w:rsidR="00DA0FBB">
        <w:rPr>
          <w:bCs/>
          <w:sz w:val="22"/>
          <w:szCs w:val="22"/>
        </w:rPr>
        <w:t xml:space="preserve">various </w:t>
      </w:r>
      <w:r w:rsidR="00054270">
        <w:rPr>
          <w:bCs/>
          <w:sz w:val="22"/>
          <w:szCs w:val="22"/>
        </w:rPr>
        <w:t>anthropogenic emission</w:t>
      </w:r>
      <w:r w:rsidR="00DA0FBB">
        <w:rPr>
          <w:bCs/>
          <w:sz w:val="22"/>
          <w:szCs w:val="22"/>
        </w:rPr>
        <w:t>s</w:t>
      </w:r>
      <w:r w:rsidR="00054270">
        <w:rPr>
          <w:bCs/>
          <w:sz w:val="22"/>
          <w:szCs w:val="22"/>
        </w:rPr>
        <w:t xml:space="preserve"> using the Weather Research and Forecasting atmospheric chemistry (WRF-Chem) models </w:t>
      </w:r>
      <w:r w:rsidR="00054270">
        <w:rPr>
          <w:bCs/>
          <w:sz w:val="22"/>
          <w:szCs w:val="22"/>
        </w:rPr>
        <w:fldChar w:fldCharType="begin"/>
      </w:r>
      <w:r w:rsidR="004C78BF">
        <w:rPr>
          <w:bCs/>
          <w:sz w:val="22"/>
          <w:szCs w:val="22"/>
        </w:rPr>
        <w:instrText xml:space="preserve"> ADDIN ZOTERO_ITEM CSL_CITATION {"citationID":"fy0dryuL","properties":{"formattedCitation":"[20]","plainCitation":"[20]","noteIndex":0},"citationItems":[{"id":232,"uris":["http://zotero.org/users/4920080/items/PPBBK288"],"uri":["http://zotero.org/users/4920080/items/PPBBK288"],"itemData":{"id":232,"type":"webpage","title":"ACP - Summertime ozone formation in Xi'an and surrounding areas, China","URL":"https://www.atmos-chem-phys.net/16/4323/2016/","accessed":{"date-parts":[["2020",6,18]]}}}],"schema":"https://github.com/citation-style-language/schema/raw/master/csl-citation.json"} </w:instrText>
      </w:r>
      <w:r w:rsidR="00054270">
        <w:rPr>
          <w:bCs/>
          <w:sz w:val="22"/>
          <w:szCs w:val="22"/>
        </w:rPr>
        <w:fldChar w:fldCharType="separate"/>
      </w:r>
      <w:r w:rsidR="004C78BF">
        <w:rPr>
          <w:bCs/>
          <w:noProof/>
          <w:sz w:val="22"/>
          <w:szCs w:val="22"/>
        </w:rPr>
        <w:t>[20]</w:t>
      </w:r>
      <w:r w:rsidR="00054270">
        <w:rPr>
          <w:bCs/>
          <w:sz w:val="22"/>
          <w:szCs w:val="22"/>
        </w:rPr>
        <w:fldChar w:fldCharType="end"/>
      </w:r>
      <w:r w:rsidR="00054270">
        <w:rPr>
          <w:bCs/>
          <w:sz w:val="22"/>
          <w:szCs w:val="22"/>
        </w:rPr>
        <w:t xml:space="preserve">. </w:t>
      </w:r>
      <w:r w:rsidR="00AE2B32">
        <w:rPr>
          <w:bCs/>
          <w:sz w:val="22"/>
          <w:szCs w:val="22"/>
        </w:rPr>
        <w:t>In our model, NO</w:t>
      </w:r>
      <w:r w:rsidR="00AE2B32" w:rsidRPr="00AE2B32">
        <w:rPr>
          <w:bCs/>
          <w:sz w:val="22"/>
          <w:szCs w:val="22"/>
          <w:vertAlign w:val="subscript"/>
        </w:rPr>
        <w:t>2</w:t>
      </w:r>
      <w:r w:rsidR="00AE2B32">
        <w:rPr>
          <w:bCs/>
          <w:sz w:val="22"/>
          <w:szCs w:val="22"/>
        </w:rPr>
        <w:t xml:space="preserve"> and O</w:t>
      </w:r>
      <w:r w:rsidR="00AE2B32" w:rsidRPr="00AE2B32">
        <w:rPr>
          <w:bCs/>
          <w:sz w:val="22"/>
          <w:szCs w:val="22"/>
          <w:vertAlign w:val="subscript"/>
        </w:rPr>
        <w:t>3</w:t>
      </w:r>
      <w:r w:rsidR="00AE2B32">
        <w:rPr>
          <w:bCs/>
          <w:sz w:val="22"/>
          <w:szCs w:val="22"/>
        </w:rPr>
        <w:t xml:space="preserve"> were not included to reduce multilinearities with PM</w:t>
      </w:r>
      <w:r w:rsidR="00AE2B32" w:rsidRPr="00AE2B32">
        <w:rPr>
          <w:bCs/>
          <w:sz w:val="22"/>
          <w:szCs w:val="22"/>
          <w:vertAlign w:val="subscript"/>
        </w:rPr>
        <w:t>2.5</w:t>
      </w:r>
      <w:r w:rsidR="00AE2B32">
        <w:rPr>
          <w:bCs/>
          <w:sz w:val="22"/>
          <w:szCs w:val="22"/>
        </w:rPr>
        <w:t xml:space="preserve"> and O</w:t>
      </w:r>
      <w:r w:rsidR="00AE2B32" w:rsidRPr="00AE2B32">
        <w:rPr>
          <w:bCs/>
          <w:sz w:val="22"/>
          <w:szCs w:val="22"/>
          <w:vertAlign w:val="subscript"/>
        </w:rPr>
        <w:t>x</w:t>
      </w:r>
      <w:r w:rsidR="00AE2B32">
        <w:rPr>
          <w:bCs/>
          <w:sz w:val="22"/>
          <w:szCs w:val="22"/>
        </w:rPr>
        <w:t xml:space="preserve">. </w:t>
      </w:r>
    </w:p>
    <w:p w14:paraId="10CC4CCD" w14:textId="77777777" w:rsidR="005468C5" w:rsidRDefault="005468C5" w:rsidP="007719C5">
      <w:pPr>
        <w:spacing w:line="480" w:lineRule="auto"/>
        <w:rPr>
          <w:b/>
          <w:bCs/>
          <w:sz w:val="22"/>
          <w:szCs w:val="22"/>
        </w:rPr>
      </w:pPr>
    </w:p>
    <w:p w14:paraId="030489F2" w14:textId="43D7BB38" w:rsidR="00585F0E" w:rsidRPr="00585F0E" w:rsidRDefault="00585F0E" w:rsidP="007719C5">
      <w:pPr>
        <w:spacing w:line="480" w:lineRule="auto"/>
        <w:rPr>
          <w:b/>
          <w:bCs/>
          <w:i/>
          <w:sz w:val="22"/>
          <w:szCs w:val="22"/>
        </w:rPr>
      </w:pPr>
      <w:r w:rsidRPr="00585F0E">
        <w:rPr>
          <w:b/>
          <w:bCs/>
          <w:i/>
          <w:sz w:val="22"/>
          <w:szCs w:val="22"/>
        </w:rPr>
        <w:t>Greenness</w:t>
      </w:r>
    </w:p>
    <w:p w14:paraId="3CF6C3A4" w14:textId="219234F9" w:rsidR="00961F50" w:rsidRDefault="00080346" w:rsidP="007719C5">
      <w:pPr>
        <w:spacing w:line="480" w:lineRule="auto"/>
        <w:rPr>
          <w:sz w:val="22"/>
          <w:szCs w:val="22"/>
        </w:rPr>
      </w:pPr>
      <w:r>
        <w:rPr>
          <w:rFonts w:hint="eastAsia"/>
          <w:bCs/>
          <w:sz w:val="22"/>
          <w:szCs w:val="22"/>
        </w:rPr>
        <w:t>T</w:t>
      </w:r>
      <w:r>
        <w:rPr>
          <w:bCs/>
          <w:sz w:val="22"/>
          <w:szCs w:val="22"/>
        </w:rPr>
        <w:t xml:space="preserve">he </w:t>
      </w:r>
      <w:r>
        <w:rPr>
          <w:sz w:val="22"/>
          <w:szCs w:val="22"/>
        </w:rPr>
        <w:t xml:space="preserve">Normalized Difference Vegetation Index (NDVI) has been used </w:t>
      </w:r>
      <w:r w:rsidR="00CC4D6F">
        <w:rPr>
          <w:sz w:val="22"/>
          <w:szCs w:val="22"/>
        </w:rPr>
        <w:t xml:space="preserve">in </w:t>
      </w:r>
      <w:r>
        <w:rPr>
          <w:sz w:val="22"/>
          <w:szCs w:val="22"/>
        </w:rPr>
        <w:t xml:space="preserve">measuring greenness </w:t>
      </w:r>
      <w:r w:rsidR="00CC4D6F">
        <w:rPr>
          <w:sz w:val="22"/>
          <w:szCs w:val="22"/>
        </w:rPr>
        <w:t xml:space="preserve">exposure </w:t>
      </w:r>
      <w:r>
        <w:rPr>
          <w:sz w:val="22"/>
          <w:szCs w:val="22"/>
        </w:rPr>
        <w:t>in epidemiological studies</w:t>
      </w:r>
      <w:r w:rsidR="0095682C">
        <w:rPr>
          <w:sz w:val="22"/>
          <w:szCs w:val="22"/>
        </w:rPr>
        <w:t xml:space="preserve"> </w:t>
      </w:r>
      <w:r w:rsidR="00E94402">
        <w:rPr>
          <w:sz w:val="22"/>
          <w:szCs w:val="22"/>
        </w:rPr>
        <w:fldChar w:fldCharType="begin"/>
      </w:r>
      <w:r w:rsidR="003A738A">
        <w:rPr>
          <w:sz w:val="22"/>
          <w:szCs w:val="22"/>
        </w:rPr>
        <w:instrText xml:space="preserve"> ADDIN ZOTERO_ITEM CSL_CITATION {"citationID":"cwblVBjx","properties":{"formattedCitation":"[21, 22]","plainCitation":"[21, 22]","noteIndex":0},"citationItems":[{"id":336,"uris":["http://zotero.org/users/4920080/items/VW93L9T6"],"uri":["http://zotero.org/users/4920080/items/VW93L9T6"],"itemData":{"id":336,"type":"article-journal","abstract":"&lt;h2&gt;Summary&lt;/h2&gt;&lt;h3&gt;Background&lt;/h3&gt;&lt;p&gt;Exposure to natural vegetation, or greenness, might affect health through several pathways, including increased physical activity and social engagement, improved mental health, and reductions in exposure to air pollution, extreme temperatures, and noise. Few studies of the effects of greenness have focused on Asia, and, to the best of our knowledge, no study has assessed the effect on vulnerable oldest-old populations. We assessed the association between residential greenness and mortality in an older cohort in China.&lt;/p&gt;&lt;h3&gt;Methods&lt;/h3&gt;&lt;p&gt;We used five waves (February, 2000–October, 2014) of the China Longitudinal Healthy Longevity Survey (CLHLS), a prospective cohort representative of the general older population in China. We assessed exposure to greenness through satellite-derived Normalised Difference Vegetation Index (NDVI) values in the 250 m and 1250 m radius around the residential address for each individual included in the study. We calculated contemporaneous NDVI values, cumulative NDVI values, and changes in NDVI from the start of the study over time. The health outcome of the study was all-cause mortality, excluding accidental deaths. Mortality rate ratios were estimated with Cox proportional hazards models, adjusted for age, sex, ethnicity, marital status, geographical region, childhood and adult socioeconomic status, social and leisure activity, smoking status, alcohol consumption, and physical activity.&lt;/p&gt;&lt;h3&gt;Findings&lt;/h3&gt;&lt;p&gt;Among 23 754 individuals (mean age at baseline 93 years [SD 7·5]) totaling 80 001 person-years, we observed 18 948 deaths during 14 years of follow-up, between June, 2000, and December, 2014. Individuals in the highest quartile of contemporaneous NDVI values had 27% lower mortality than those in the lowest quartile for the 250 m radius (hazard ratio [HR] 0·73, 95% CI 0·70–0·76), and 30% lower mortality for the 1250 m radius (0·70, 0·67–0·74). No clear association was observed for cumulative NDVI measurements and mortality. We did not detect an association between area-level changes in NDVI and mortality.&lt;/p&gt;&lt;h3&gt;Interpretation&lt;/h3&gt;&lt;p&gt;Our research suggests that proximity to more green space is associated with increased longevity, which has policy implications for the national blueprint of ecological civilisation and preparation for an ageing society in China.&lt;/p&gt;&lt;h3&gt;Funding&lt;/h3&gt;&lt;p&gt;Bill &amp; Melinda Gates Foundation, US National Institute on Aging, US National Institute of Health, Natural Science Foundation of China, UN Population Fund, China Social Sciences Foundation, and Hong Kong Research Grants Council.&lt;/p&gt;","container-title":"The Lancet Planetary Health","DOI":"10.1016/S2542-5196(18)30264-X","ISSN":"2542-5196","issue":"1","journalAbbreviation":"The Lancet Planetary Health","language":"English","note":"PMID: 30654864","page":"e17-e25","source":"www.thelancet.com","title":"Residential greenness and mortality in oldest-old women and men in China: a longitudinal cohort study","title-short":"Residential greenness and mortality in oldest-old women and men in China","volume":"3","author":[{"family":"Ji","given":"John S."},{"family":"Zhu","given":"Anna"},{"family":"Bai","given":"Chen"},{"family":"Wu","given":"Chih-Da"},{"family":"Yan","given":"Lijing"},{"family":"Tang","given":"Shenglan"},{"family":"Zeng","given":"Yi"},{"family":"James","given":"Peter"}],"issued":{"date-parts":[["2019",1,1]]}}},{"id":868,"uris":["http://zotero.org/users/4920080/items/9PHIXTXX"],"uri":["http://zotero.org/users/4920080/items/9PHIXTXX"],"itemData":{"id":868,"type":"article-journal","abstract":"BACKGROUND: Recent evidence suggests that higher levels of residential greenness may contribute to better mental health. Despite this, few studies have considered its impact on depression, and most are cross-sectional.\nOBJECTIVE: The objective of this study was to examine surrounding residential greenness and depression risk prospectively in the Nurses’ Health Study.\nMETHODS: A total of 38,947 women (mean age throughout follow-up 70 y [range 54–91 y]) without depression in 2000 were followed to 2010. Residential greenness was measured using the satellite-based Normalized Diﬀerence Vegetation Index (NDVI) and deﬁned as the mean greenness value within 250-m and 1,250-m radii of the women’s residences in July of each year. Incidence of depression was deﬁned according to the ﬁrst selfreport of either physician-diagnosed depression or regular antidepressant use. We used Cox proportional hazards models to examine the relationship between greenness and depression incidence and assessed physical activity as a potential eﬀect modiﬁer and mediator.\nRESULTS: Over 315,548 person-years, 3,612 incident depression cases occurred. In multivariable-adjusted models, living in the highest quintile of residential greenness within 250 m was associated with a 13% reduction in depression risk (HR = 0:87 [95% conﬁdence interval (CI): 0.78, 0.98]) compared with the lowest quintile. The association between greenness and depression did not appear to be mediated by physical activity, nor was there evidence of eﬀect modiﬁcation by physical activity.\nCONCLUSIONS: In this population of mostly white women, we estimated an inverse association between the highest level of surrounding summer greenness and the risk of self-reported depression. https://doi.org/10.1289/EHP1229","container-title":"Environmental Health Perspectives","DOI":"10.1289/EHP1229","ISSN":"0091-6765, 1552-9924","issue":"2","journalAbbreviation":"Environ Health Perspect","language":"en","page":"027001","source":"DOI.org (Crossref)","title":"Greenness and Depression Incidence among Older Women","volume":"127","author":[{"family":"Banay","given":"Rachel F."},{"family":"James","given":"Peter"},{"family":"Hart","given":"Jaime E."},{"family":"Kubzansky","given":"Laura D."},{"family":"Spiegelman","given":"Donna"},{"family":"Okereke","given":"Olivia I."},{"family":"Spengler","given":"John D."},{"family":"Laden","given":"Francine"}],"issued":{"date-parts":[["2019",2]]}}}],"schema":"https://github.com/citation-style-language/schema/raw/master/csl-citation.json"} </w:instrText>
      </w:r>
      <w:r w:rsidR="00E94402">
        <w:rPr>
          <w:sz w:val="22"/>
          <w:szCs w:val="22"/>
        </w:rPr>
        <w:fldChar w:fldCharType="separate"/>
      </w:r>
      <w:r w:rsidR="003A738A">
        <w:rPr>
          <w:noProof/>
          <w:sz w:val="22"/>
          <w:szCs w:val="22"/>
        </w:rPr>
        <w:t>[21, 22]</w:t>
      </w:r>
      <w:r w:rsidR="00E94402">
        <w:rPr>
          <w:sz w:val="22"/>
          <w:szCs w:val="22"/>
        </w:rPr>
        <w:fldChar w:fldCharType="end"/>
      </w:r>
      <w:r>
        <w:rPr>
          <w:sz w:val="22"/>
          <w:szCs w:val="22"/>
        </w:rPr>
        <w:t xml:space="preserve">. </w:t>
      </w:r>
      <w:r w:rsidR="00942BDA">
        <w:rPr>
          <w:rFonts w:hint="eastAsia"/>
          <w:sz w:val="22"/>
          <w:szCs w:val="22"/>
        </w:rPr>
        <w:t>NDVI</w:t>
      </w:r>
      <w:r w:rsidR="00942BDA">
        <w:rPr>
          <w:sz w:val="22"/>
          <w:szCs w:val="22"/>
        </w:rPr>
        <w:t xml:space="preserve"> values range from -1 to +1, with -1 for water, 0 for bare soil, and +1 for healthy vegetation </w:t>
      </w:r>
      <w:r w:rsidR="00CC4D6F">
        <w:rPr>
          <w:sz w:val="22"/>
          <w:szCs w:val="22"/>
        </w:rPr>
        <w:fldChar w:fldCharType="begin"/>
      </w:r>
      <w:r w:rsidR="003A738A">
        <w:rPr>
          <w:sz w:val="22"/>
          <w:szCs w:val="22"/>
        </w:rPr>
        <w:instrText xml:space="preserve"> ADDIN ZOTERO_ITEM CSL_CITATION {"citationID":"h2GDMrZ7","properties":{"formattedCitation":"[23]","plainCitation":"[23]","noteIndex":0},"citationItems":[{"id":229,"uris":["http://zotero.org/users/4920080/items/43CN6F2I"],"uri":["http://zotero.org/users/4920080/items/43CN6F2I"],"itemData":{"id":229,"type":"webpage","abstract":"In an effort to monitor major fluctuations in vegetation and understand how they affect the environment scientist use satellite remote sensors to measure and map the density of green vegetation over the Earth. By carefully measuring the wavelengths and intensity of visible and near-infrared light reflected by the land surface back up into space, scientists use an algorithm called a &amp;#8220;Vegetation Index&amp;#8221; to quantify the concentrations of green leaf vegetation around the globe.","genre":"Text.Article","language":"en","note":"source: earthobservatory.nasa.gov\npublisher: NASA Earth Observatory","title":"Measuring Vegetation (NDVI &amp; EVI)","URL":"https://earthobservatory.nasa.gov/features/MeasuringVegetation","accessed":{"date-parts":[["2020",7,7]]},"issued":{"date-parts":[["2000",8,30]]}}}],"schema":"https://github.com/citation-style-language/schema/raw/master/csl-citation.json"} </w:instrText>
      </w:r>
      <w:r w:rsidR="00CC4D6F">
        <w:rPr>
          <w:sz w:val="22"/>
          <w:szCs w:val="22"/>
        </w:rPr>
        <w:fldChar w:fldCharType="separate"/>
      </w:r>
      <w:r w:rsidR="003A738A">
        <w:rPr>
          <w:noProof/>
          <w:sz w:val="22"/>
          <w:szCs w:val="22"/>
        </w:rPr>
        <w:t>[23]</w:t>
      </w:r>
      <w:r w:rsidR="00CC4D6F">
        <w:rPr>
          <w:sz w:val="22"/>
          <w:szCs w:val="22"/>
        </w:rPr>
        <w:fldChar w:fldCharType="end"/>
      </w:r>
      <w:r w:rsidR="00942BDA">
        <w:rPr>
          <w:sz w:val="22"/>
          <w:szCs w:val="22"/>
        </w:rPr>
        <w:t>.</w:t>
      </w:r>
      <w:r w:rsidR="00961F50">
        <w:rPr>
          <w:sz w:val="22"/>
          <w:szCs w:val="22"/>
        </w:rPr>
        <w:t xml:space="preserve"> 16-day average greenness surface data at 500</w:t>
      </w:r>
      <w:r w:rsidR="00DD34F7">
        <w:rPr>
          <w:sz w:val="22"/>
          <w:szCs w:val="22"/>
        </w:rPr>
        <w:t xml:space="preserve"> </w:t>
      </w:r>
      <w:proofErr w:type="spellStart"/>
      <w:r w:rsidR="00961F50">
        <w:rPr>
          <w:sz w:val="22"/>
          <w:szCs w:val="22"/>
        </w:rPr>
        <w:t>m</w:t>
      </w:r>
      <m:oMath>
        <m:r>
          <w:rPr>
            <w:rFonts w:ascii="Cambria Math" w:hAnsi="Cambria Math"/>
            <w:sz w:val="22"/>
            <w:szCs w:val="22"/>
          </w:rPr>
          <m:t>×</m:t>
        </m:r>
      </m:oMath>
      <w:r w:rsidR="00961F50">
        <w:rPr>
          <w:sz w:val="22"/>
          <w:szCs w:val="22"/>
        </w:rPr>
        <w:t>500</w:t>
      </w:r>
      <w:r w:rsidR="00DD34F7">
        <w:rPr>
          <w:sz w:val="22"/>
          <w:szCs w:val="22"/>
        </w:rPr>
        <w:t xml:space="preserve"> </w:t>
      </w:r>
      <w:r w:rsidR="00961F50">
        <w:rPr>
          <w:sz w:val="22"/>
          <w:szCs w:val="22"/>
        </w:rPr>
        <w:t>m</w:t>
      </w:r>
      <w:proofErr w:type="spellEnd"/>
      <w:r w:rsidR="00961F50">
        <w:rPr>
          <w:sz w:val="22"/>
          <w:szCs w:val="22"/>
        </w:rPr>
        <w:t xml:space="preserve"> </w:t>
      </w:r>
      <w:proofErr w:type="gramStart"/>
      <w:r w:rsidR="00961F50">
        <w:rPr>
          <w:sz w:val="22"/>
          <w:szCs w:val="22"/>
        </w:rPr>
        <w:t>were</w:t>
      </w:r>
      <w:proofErr w:type="gramEnd"/>
      <w:r w:rsidR="00961F50">
        <w:rPr>
          <w:sz w:val="22"/>
          <w:szCs w:val="22"/>
        </w:rPr>
        <w:t xml:space="preserve"> derived from MODIS for the study period. The dataset has been used and verified by other studies</w:t>
      </w:r>
      <w:r w:rsidR="0095682C">
        <w:rPr>
          <w:sz w:val="22"/>
          <w:szCs w:val="22"/>
        </w:rPr>
        <w:t xml:space="preserve"> </w:t>
      </w:r>
      <w:r w:rsidR="0095682C">
        <w:rPr>
          <w:sz w:val="22"/>
          <w:szCs w:val="22"/>
        </w:rPr>
        <w:fldChar w:fldCharType="begin"/>
      </w:r>
      <w:r w:rsidR="003A738A">
        <w:rPr>
          <w:sz w:val="22"/>
          <w:szCs w:val="22"/>
        </w:rPr>
        <w:instrText xml:space="preserve"> ADDIN ZOTERO_ITEM CSL_CITATION {"citationID":"wN2OqUCq","properties":{"formattedCitation":"[9, 21, 22]","plainCitation":"[9, 21, 22]","noteIndex":0},"citationItems":[{"id":"u3aZZJWI/kzLZqqDA","uris":["http://zotero.org/users/4920080/items/JYLIHYRF"],"uri":["http://zotero.org/users/4920080/items/JYLIHYRF"],"itemData":{"id":"u3aZZJWI/kzLZqqDA","type":"article-journal","abstract":"Background\nEpidemiological studies have consistently demonstrated that exposure to fine particulate matter (PM2.5) is associated with increased risks of mortality. To a lesser extent, a series of studies suggest that living in greener areas is associated with reduced risks of mortality. Only a handful of studies have examined the interplay between PM2.5, greenness, and mortality.\nMethods\nWe investigated the role of residential greenness in modifying associations between long-term exposures to PM2.5 and non-accidental and cardiovascular mortality in a national cohort of non-immigrant Canadian adults (i.e., the 2001 Canadian Census Health and Environment Cohort). Specifically, we examined associations between satellite-derived estimates of PM2.5 exposure and mortality across quintiles of greenness measured within 500 m of individual's place of residence during 11 years of follow-up. We adjusted our survival models for many personal and contextual measures of socioeconomic position, and residential mobility data allowed us to characterize annual changes in exposures.\nResults\nOur cohort included approximately 2.4 million individuals at baseline, 194,270 of whom died from non-accidental causes during follow-up. Adjustment for greenness attenuated the association between PM2.5 and mortality (e.g., hazard ratios (HRs) and 95% confidence intervals (CIs) per interquartile range increase in PM2.5 in models for non-accidental mortality decreased from 1.065 (95% CI: 1.056–1.075) to 1.041 (95% CI: 1.031–1.050)). The strength of observed associations between PM2.5 and mortality decreased as greenness increased. This pattern persisted in models restricted to urban residents, in models that considered the combined oxidant capacity of ozone and nitrogen dioxide, and within neighbourhoods characterised by high or low deprivation. We found no increased risk of mortality associated with PM2.5 among those living in the greenest areas. For example, the HR for cardiovascular mortality among individuals in the least green areas was 1.17 (95% CI: 1.12–1.23) compared to 1.01 (95% CI: 0.97–1.06) among those in the greenest areas.\nConclusions\nStudies that do not account for greenness may overstate the air pollution impacts on mortality. Residents in deprived neighbourhoods with high greenness benefitted by having more attenuated associations between PM2.5 and mortality than those living in deprived areas with less greenness. The findings from this study extend our understanding of how living in greener areas may lead to improved health outcomes.","container-title":"Environment International","DOI":"10.1016/j.envint.2019.04.047","ISSN":"0160-4120","journalAbbreviation":"Environment International","language":"en","page":"292-300","source":"ScienceDirect","title":"Complex relationships between greenness, air pollution, and mortality in a population-based Canadian cohort","volume":"128","author":[{"family":"Crouse","given":"Dan L."},{"family":"Pinault","given":"Lauren"},{"family":"Balram","given":"Adele"},{"family":"Brauer","given":"Michael"},{"family":"Burnett","given":"Richard T."},{"family":"Martin","given":"Randall V."},{"family":"Donkelaar","given":"Aaron","non-dropping-particle":"van"},{"family":"Villeneuve","given":"Paul J."},{"family":"Weichenthal","given":"Scott"}],"issued":{"date-parts":[["2019",7,1]]}}},{"id":336,"uris":["http://zotero.org/users/4920080/items/VW93L9T6"],"uri":["http://zotero.org/users/4920080/items/VW93L9T6"],"itemData":{"id":336,"type":"article-journal","abstract":"&lt;h2&gt;Summary&lt;/h2&gt;&lt;h3&gt;Background&lt;/h3&gt;&lt;p&gt;Exposure to natural vegetation, or greenness, might affect health through several pathways, including increased physical activity and social engagement, improved mental health, and reductions in exposure to air pollution, extreme temperatures, and noise. Few studies of the effects of greenness have focused on Asia, and, to the best of our knowledge, no study has assessed the effect on vulnerable oldest-old populations. We assessed the association between residential greenness and mortality in an older cohort in China.&lt;/p&gt;&lt;h3&gt;Methods&lt;/h3&gt;&lt;p&gt;We used five waves (February, 2000–October, 2014) of the China Longitudinal Healthy Longevity Survey (CLHLS), a prospective cohort representative of the general older population in China. We assessed exposure to greenness through satellite-derived Normalised Difference Vegetation Index (NDVI) values in the 250 m and 1250 m radius around the residential address for each individual included in the study. We calculated contemporaneous NDVI values, cumulative NDVI values, and changes in NDVI from the start of the study over time. The health outcome of the study was all-cause mortality, excluding accidental deaths. Mortality rate ratios were estimated with Cox proportional hazards models, adjusted for age, sex, ethnicity, marital status, geographical region, childhood and adult socioeconomic status, social and leisure activity, smoking status, alcohol consumption, and physical activity.&lt;/p&gt;&lt;h3&gt;Findings&lt;/h3&gt;&lt;p&gt;Among 23 754 individuals (mean age at baseline 93 years [SD 7·5]) totaling 80 001 person-years, we observed 18 948 deaths during 14 years of follow-up, between June, 2000, and December, 2014. Individuals in the highest quartile of contemporaneous NDVI values had 27% lower mortality than those in the lowest quartile for the 250 m radius (hazard ratio [HR] 0·73, 95% CI 0·70–0·76), and 30% lower mortality for the 1250 m radius (0·70, 0·67–0·74). No clear association was observed for cumulative NDVI measurements and mortality. We did not detect an association between area-level changes in NDVI and mortality.&lt;/p&gt;&lt;h3&gt;Interpretation&lt;/h3&gt;&lt;p&gt;Our research suggests that proximity to more green space is associated with increased longevity, which has policy implications for the national blueprint of ecological civilisation and preparation for an ageing society in China.&lt;/p&gt;&lt;h3&gt;Funding&lt;/h3&gt;&lt;p&gt;Bill &amp; Melinda Gates Foundation, US National Institute on Aging, US National Institute of Health, Natural Science Foundation of China, UN Population Fund, China Social Sciences Foundation, and Hong Kong Research Grants Council.&lt;/p&gt;","container-title":"The Lancet Planetary Health","DOI":"10.1016/S2542-5196(18)30264-X","ISSN":"2542-5196","issue":"1","journalAbbreviation":"The Lancet Planetary Health","language":"English","note":"PMID: 30654864","page":"e17-e25","source":"www.thelancet.com","title":"Residential greenness and mortality in oldest-old women and men in China: a longitudinal cohort study","title-short":"Residential greenness and mortality in oldest-old women and men in China","volume":"3","author":[{"family":"Ji","given":"John S."},{"family":"Zhu","given":"Anna"},{"family":"Bai","given":"Chen"},{"family":"Wu","given":"Chih-Da"},{"family":"Yan","given":"Lijing"},{"family":"Tang","given":"Shenglan"},{"family":"Zeng","given":"Yi"},{"family":"James","given":"Peter"}],"issued":{"date-parts":[["2019",1,1]]}}},{"id":868,"uris":["http://zotero.org/users/4920080/items/9PHIXTXX"],"uri":["http://zotero.org/users/4920080/items/9PHIXTXX"],"itemData":{"id":868,"type":"article-journal","abstract":"BACKGROUND: Recent evidence suggests that higher levels of residential greenness may contribute to better mental health. Despite this, few studies have considered its impact on depression, and most are cross-sectional.\nOBJECTIVE: The objective of this study was to examine surrounding residential greenness and depression risk prospectively in the Nurses’ Health Study.\nMETHODS: A total of 38,947 women (mean age throughout follow-up 70 y [range 54–91 y]) without depression in 2000 were followed to 2010. Residential greenness was measured using the satellite-based Normalized Diﬀerence Vegetation Index (NDVI) and deﬁned as the mean greenness value within 250-m and 1,250-m radii of the women’s residences in July of each year. Incidence of depression was deﬁned according to the ﬁrst selfreport of either physician-diagnosed depression or regular antidepressant use. We used Cox proportional hazards models to examine the relationship between greenness and depression incidence and assessed physical activity as a potential eﬀect modiﬁer and mediator.\nRESULTS: Over 315,548 person-years, 3,612 incident depression cases occurred. In multivariable-adjusted models, living in the highest quintile of residential greenness within 250 m was associated with a 13% reduction in depression risk (HR = 0:87 [95% conﬁdence interval (CI): 0.78, 0.98]) compared with the lowest quintile. The association between greenness and depression did not appear to be mediated by physical activity, nor was there evidence of eﬀect modiﬁcation by physical activity.\nCONCLUSIONS: In this population of mostly white women, we estimated an inverse association between the highest level of surrounding summer greenness and the risk of self-reported depression. https://doi.org/10.1289/EHP1229","container-title":"Environmental Health Perspectives","DOI":"10.1289/EHP1229","ISSN":"0091-6765, 1552-9924","issue":"2","journalAbbreviation":"Environ Health Perspect","language":"en","page":"027001","source":"DOI.org (Crossref)","title":"Greenness and Depression Incidence among Older Women","volume":"127","author":[{"family":"Banay","given":"Rachel F."},{"family":"James","given":"Peter"},{"family":"Hart","given":"Jaime E."},{"family":"Kubzansky","given":"Laura D."},{"family":"Spiegelman","given":"Donna"},{"family":"Okereke","given":"Olivia I."},{"family":"Spengler","given":"John D."},{"family":"Laden","given":"Francine"}],"issued":{"date-parts":[["2019",2]]}}}],"schema":"https://github.com/citation-style-language/schema/raw/master/csl-citation.json"} </w:instrText>
      </w:r>
      <w:r w:rsidR="0095682C">
        <w:rPr>
          <w:sz w:val="22"/>
          <w:szCs w:val="22"/>
        </w:rPr>
        <w:fldChar w:fldCharType="separate"/>
      </w:r>
      <w:r w:rsidR="003A738A">
        <w:rPr>
          <w:noProof/>
          <w:sz w:val="22"/>
          <w:szCs w:val="22"/>
        </w:rPr>
        <w:t>[9, 21, 22]</w:t>
      </w:r>
      <w:r w:rsidR="0095682C">
        <w:rPr>
          <w:sz w:val="22"/>
          <w:szCs w:val="22"/>
        </w:rPr>
        <w:fldChar w:fldCharType="end"/>
      </w:r>
      <w:r w:rsidR="00961F50">
        <w:rPr>
          <w:sz w:val="22"/>
          <w:szCs w:val="22"/>
        </w:rPr>
        <w:t xml:space="preserve">. </w:t>
      </w:r>
      <w:r w:rsidR="0024511F">
        <w:rPr>
          <w:sz w:val="22"/>
          <w:szCs w:val="22"/>
        </w:rPr>
        <w:t xml:space="preserve">We calculated the cumulative </w:t>
      </w:r>
      <w:r w:rsidR="001A1944">
        <w:rPr>
          <w:sz w:val="22"/>
          <w:szCs w:val="22"/>
        </w:rPr>
        <w:t>16-day average NDVI values</w:t>
      </w:r>
      <w:r w:rsidR="0024511F">
        <w:rPr>
          <w:sz w:val="22"/>
          <w:szCs w:val="22"/>
        </w:rPr>
        <w:t xml:space="preserve"> </w:t>
      </w:r>
      <w:r w:rsidR="0069405A">
        <w:rPr>
          <w:sz w:val="22"/>
          <w:szCs w:val="22"/>
        </w:rPr>
        <w:t xml:space="preserve">based on </w:t>
      </w:r>
      <w:r w:rsidR="003261B1">
        <w:rPr>
          <w:sz w:val="22"/>
          <w:szCs w:val="22"/>
        </w:rPr>
        <w:t xml:space="preserve">the method </w:t>
      </w:r>
      <w:r w:rsidR="00EA306C">
        <w:rPr>
          <w:sz w:val="22"/>
          <w:szCs w:val="22"/>
        </w:rPr>
        <w:t xml:space="preserve">introduced in </w:t>
      </w:r>
      <w:r w:rsidR="00EA306C">
        <w:rPr>
          <w:sz w:val="22"/>
          <w:szCs w:val="22"/>
        </w:rPr>
        <w:fldChar w:fldCharType="begin"/>
      </w:r>
      <w:r w:rsidR="00254184">
        <w:rPr>
          <w:sz w:val="22"/>
          <w:szCs w:val="22"/>
        </w:rPr>
        <w:instrText xml:space="preserve"> ADDIN ZOTERO_ITEM CSL_CITATION {"citationID":"ba0cf8Zu","properties":{"formattedCitation":"[21]","plainCitation":"[21]","noteIndex":0},"citationItems":[{"id":336,"uris":["http://zotero.org/users/4920080/items/VW93L9T6"],"uri":["http://zotero.org/users/4920080/items/VW93L9T6"],"itemData":{"id":336,"type":"article-journal","abstract":"&lt;h2&gt;Summary&lt;/h2&gt;&lt;h3&gt;Background&lt;/h3&gt;&lt;p&gt;Exposure to natural vegetation, or greenness, might affect health through several pathways, including increased physical activity and social engagement, improved mental health, and reductions in exposure to air pollution, extreme temperatures, and noise. Few studies of the effects of greenness have focused on Asia, and, to the best of our knowledge, no study has assessed the effect on vulnerable oldest-old populations. We assessed the association between residential greenness and mortality in an older cohort in China.&lt;/p&gt;&lt;h3&gt;Methods&lt;/h3&gt;&lt;p&gt;We used five waves (February, 2000–October, 2014) of the China Longitudinal Healthy Longevity Survey (CLHLS), a prospective cohort representative of the general older population in China. We assessed exposure to greenness through satellite-derived Normalised Difference Vegetation Index (NDVI) values in the 250 m and 1250 m radius around the residential address for each individual included in the study. We calculated contemporaneous NDVI values, cumulative NDVI values, and changes in NDVI from the start of the study over time. The health outcome of the study was all-cause mortality, excluding accidental deaths. Mortality rate ratios were estimated with Cox proportional hazards models, adjusted for age, sex, ethnicity, marital status, geographical region, childhood and adult socioeconomic status, social and leisure activity, smoking status, alcohol consumption, and physical activity.&lt;/p&gt;&lt;h3&gt;Findings&lt;/h3&gt;&lt;p&gt;Among 23 754 individuals (mean age at baseline 93 years [SD 7·5]) totaling 80 001 person-years, we observed 18 948 deaths during 14 years of follow-up, between June, 2000, and December, 2014. Individuals in the highest quartile of contemporaneous NDVI values had 27% lower mortality than those in the lowest quartile for the 250 m radius (hazard ratio [HR] 0·73, 95% CI 0·70–0·76), and 30% lower mortality for the 1250 m radius (0·70, 0·67–0·74). No clear association was observed for cumulative NDVI measurements and mortality. We did not detect an association between area-level changes in NDVI and mortality.&lt;/p&gt;&lt;h3&gt;Interpretation&lt;/h3&gt;&lt;p&gt;Our research suggests that proximity to more green space is associated with increased longevity, which has policy implications for the national blueprint of ecological civilisation and preparation for an ageing society in China.&lt;/p&gt;&lt;h3&gt;Funding&lt;/h3&gt;&lt;p&gt;Bill &amp; Melinda Gates Foundation, US National Institute on Aging, US National Institute of Health, Natural Science Foundation of China, UN Population Fund, China Social Sciences Foundation, and Hong Kong Research Grants Council.&lt;/p&gt;","container-title":"The Lancet Planetary Health","DOI":"10.1016/S2542-5196(18)30264-X","ISSN":"2542-5196","issue":"1","journalAbbreviation":"The Lancet Planetary Health","language":"English","note":"PMID: 30654864","page":"e17-e25","source":"www.thelancet.com","title":"Residential greenness and mortality in oldest-old women and men in China: a longitudinal cohort study","title-short":"Residential greenness and mortality in oldest-old women and men in China","volume":"3","author":[{"family":"Ji","given":"John S."},{"family":"Zhu","given":"Anna"},{"family":"Bai","given":"Chen"},{"family":"Wu","given":"Chih-Da"},{"family":"Yan","given":"Lijing"},{"family":"Tang","given":"Shenglan"},{"family":"Zeng","given":"Yi"},{"family":"James","given":"Peter"}],"issued":{"date-parts":[["2019",1,1]]}}}],"schema":"https://github.com/citation-style-language/schema/raw/master/csl-citation.json"} </w:instrText>
      </w:r>
      <w:r w:rsidR="00EA306C">
        <w:rPr>
          <w:sz w:val="22"/>
          <w:szCs w:val="22"/>
        </w:rPr>
        <w:fldChar w:fldCharType="separate"/>
      </w:r>
      <w:r w:rsidR="00254184">
        <w:rPr>
          <w:noProof/>
          <w:sz w:val="22"/>
          <w:szCs w:val="22"/>
        </w:rPr>
        <w:t>[21]</w:t>
      </w:r>
      <w:r w:rsidR="00EA306C">
        <w:rPr>
          <w:sz w:val="22"/>
          <w:szCs w:val="22"/>
        </w:rPr>
        <w:fldChar w:fldCharType="end"/>
      </w:r>
      <w:r w:rsidR="001A1944">
        <w:rPr>
          <w:sz w:val="22"/>
          <w:szCs w:val="22"/>
        </w:rPr>
        <w:t xml:space="preserve"> </w:t>
      </w:r>
      <w:r w:rsidR="00646A5C">
        <w:rPr>
          <w:rFonts w:hint="eastAsia"/>
          <w:sz w:val="22"/>
          <w:szCs w:val="22"/>
        </w:rPr>
        <w:t>and</w:t>
      </w:r>
      <w:r w:rsidR="00646A5C">
        <w:rPr>
          <w:sz w:val="22"/>
          <w:szCs w:val="22"/>
        </w:rPr>
        <w:t xml:space="preserve"> </w:t>
      </w:r>
      <w:r w:rsidR="001A1944">
        <w:rPr>
          <w:sz w:val="22"/>
          <w:szCs w:val="22"/>
        </w:rPr>
        <w:t>linked</w:t>
      </w:r>
      <w:r w:rsidR="009F5E65">
        <w:rPr>
          <w:sz w:val="22"/>
          <w:szCs w:val="22"/>
        </w:rPr>
        <w:t xml:space="preserve"> NDVI</w:t>
      </w:r>
      <w:r w:rsidR="001A1944">
        <w:rPr>
          <w:sz w:val="22"/>
          <w:szCs w:val="22"/>
        </w:rPr>
        <w:t xml:space="preserve"> to patient from </w:t>
      </w:r>
      <w:r w:rsidR="00751390">
        <w:rPr>
          <w:sz w:val="22"/>
          <w:szCs w:val="22"/>
          <w:lang w:val="en-US"/>
        </w:rPr>
        <w:t xml:space="preserve">diagnosis confirmation to death, loss to follow-up, or end of follow-up according to </w:t>
      </w:r>
      <w:r w:rsidR="007F3EBC">
        <w:rPr>
          <w:sz w:val="22"/>
          <w:szCs w:val="22"/>
          <w:lang w:val="en-US"/>
        </w:rPr>
        <w:t>the patient’s home address.</w:t>
      </w:r>
      <w:r w:rsidR="001A1944">
        <w:rPr>
          <w:sz w:val="22"/>
          <w:szCs w:val="22"/>
        </w:rPr>
        <w:t xml:space="preserve">  </w:t>
      </w:r>
    </w:p>
    <w:p w14:paraId="0106E996" w14:textId="2DE684BF" w:rsidR="00DE26C2" w:rsidRDefault="00DE26C2" w:rsidP="007719C5">
      <w:pPr>
        <w:spacing w:line="480" w:lineRule="auto"/>
        <w:rPr>
          <w:sz w:val="22"/>
          <w:szCs w:val="22"/>
        </w:rPr>
      </w:pPr>
    </w:p>
    <w:p w14:paraId="7F7F65E1" w14:textId="0A12B648" w:rsidR="00DE26C2" w:rsidRDefault="00DE26C2" w:rsidP="007719C5">
      <w:pPr>
        <w:spacing w:line="480" w:lineRule="auto"/>
        <w:rPr>
          <w:sz w:val="22"/>
          <w:szCs w:val="22"/>
        </w:rPr>
      </w:pPr>
      <w:r>
        <w:rPr>
          <w:noProof/>
          <w:sz w:val="22"/>
          <w:szCs w:val="22"/>
        </w:rPr>
        <w:lastRenderedPageBreak/>
        <w:drawing>
          <wp:inline distT="0" distB="0" distL="0" distR="0" wp14:anchorId="0AE79138" wp14:editId="0885FD72">
            <wp:extent cx="5939481" cy="2515720"/>
            <wp:effectExtent l="0" t="0" r="4445"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67511" cy="2527592"/>
                    </a:xfrm>
                    <a:prstGeom prst="rect">
                      <a:avLst/>
                    </a:prstGeom>
                  </pic:spPr>
                </pic:pic>
              </a:graphicData>
            </a:graphic>
          </wp:inline>
        </w:drawing>
      </w:r>
    </w:p>
    <w:p w14:paraId="19DE62C5" w14:textId="77777777" w:rsidR="00C44233" w:rsidRDefault="00C44233" w:rsidP="008D44A0">
      <w:pPr>
        <w:spacing w:line="360" w:lineRule="auto"/>
        <w:rPr>
          <w:bCs/>
          <w:sz w:val="22"/>
          <w:szCs w:val="22"/>
        </w:rPr>
      </w:pPr>
      <w:r>
        <w:rPr>
          <w:bCs/>
          <w:sz w:val="22"/>
          <w:szCs w:val="22"/>
        </w:rPr>
        <w:t xml:space="preserve">Figure 1. </w:t>
      </w:r>
      <w:r w:rsidRPr="00417823">
        <w:rPr>
          <w:bCs/>
          <w:sz w:val="22"/>
          <w:szCs w:val="22"/>
        </w:rPr>
        <w:t>Characteristics of MDR-TB distribution and greenness (</w:t>
      </w:r>
      <w:proofErr w:type="gramStart"/>
      <w:r w:rsidRPr="00417823">
        <w:rPr>
          <w:bCs/>
          <w:sz w:val="22"/>
          <w:szCs w:val="22"/>
        </w:rPr>
        <w:t>i.e.</w:t>
      </w:r>
      <w:proofErr w:type="gramEnd"/>
      <w:r w:rsidRPr="00417823">
        <w:rPr>
          <w:bCs/>
          <w:sz w:val="22"/>
          <w:szCs w:val="22"/>
        </w:rPr>
        <w:t xml:space="preserve"> NDVI) in (a) Ningxia and (b) Zhejiang, China.</w:t>
      </w:r>
    </w:p>
    <w:p w14:paraId="5E687653" w14:textId="77777777" w:rsidR="001845BD" w:rsidRDefault="001845BD" w:rsidP="007719C5">
      <w:pPr>
        <w:spacing w:line="480" w:lineRule="auto"/>
        <w:rPr>
          <w:b/>
          <w:bCs/>
          <w:sz w:val="22"/>
          <w:szCs w:val="22"/>
        </w:rPr>
      </w:pPr>
    </w:p>
    <w:p w14:paraId="199C6DE5" w14:textId="1A676882" w:rsidR="00585F0E" w:rsidRPr="00585F0E" w:rsidRDefault="00585F0E" w:rsidP="007719C5">
      <w:pPr>
        <w:spacing w:line="480" w:lineRule="auto"/>
        <w:rPr>
          <w:b/>
          <w:bCs/>
          <w:i/>
          <w:sz w:val="22"/>
          <w:szCs w:val="22"/>
        </w:rPr>
      </w:pPr>
      <w:r w:rsidRPr="00585F0E">
        <w:rPr>
          <w:b/>
          <w:bCs/>
          <w:i/>
          <w:sz w:val="22"/>
          <w:szCs w:val="22"/>
        </w:rPr>
        <w:t>Covariates</w:t>
      </w:r>
    </w:p>
    <w:p w14:paraId="0D4BAF86" w14:textId="0B812CEF" w:rsidR="003F09AD" w:rsidRDefault="00E2263A" w:rsidP="007719C5">
      <w:pPr>
        <w:spacing w:line="480" w:lineRule="auto"/>
        <w:rPr>
          <w:bCs/>
          <w:sz w:val="22"/>
          <w:szCs w:val="22"/>
        </w:rPr>
      </w:pPr>
      <w:r>
        <w:rPr>
          <w:bCs/>
          <w:sz w:val="22"/>
          <w:szCs w:val="22"/>
        </w:rPr>
        <w:t>There were three domains of covariates collected by this study: patient’s individual characteristics, treatment, and environment</w:t>
      </w:r>
      <w:r w:rsidR="003F09AD">
        <w:rPr>
          <w:bCs/>
          <w:sz w:val="22"/>
          <w:szCs w:val="22"/>
        </w:rPr>
        <w:t>:</w:t>
      </w:r>
      <w:r>
        <w:rPr>
          <w:bCs/>
          <w:sz w:val="22"/>
          <w:szCs w:val="22"/>
        </w:rPr>
        <w:t xml:space="preserve"> </w:t>
      </w:r>
      <w:r w:rsidR="003F09AD">
        <w:rPr>
          <w:bCs/>
          <w:sz w:val="22"/>
          <w:szCs w:val="22"/>
        </w:rPr>
        <w:t>i</w:t>
      </w:r>
      <w:r>
        <w:rPr>
          <w:bCs/>
          <w:sz w:val="22"/>
          <w:szCs w:val="22"/>
        </w:rPr>
        <w:t xml:space="preserve">ndividual </w:t>
      </w:r>
      <w:r w:rsidR="001A46DC">
        <w:rPr>
          <w:bCs/>
          <w:sz w:val="22"/>
          <w:szCs w:val="22"/>
        </w:rPr>
        <w:t>characteristics</w:t>
      </w:r>
      <w:r>
        <w:rPr>
          <w:bCs/>
          <w:sz w:val="22"/>
          <w:szCs w:val="22"/>
        </w:rPr>
        <w:t xml:space="preserve"> include age at diagnosis, sex, occupation, ethnicity</w:t>
      </w:r>
      <w:r w:rsidR="003F09AD">
        <w:rPr>
          <w:bCs/>
          <w:sz w:val="22"/>
          <w:szCs w:val="22"/>
        </w:rPr>
        <w:t>;</w:t>
      </w:r>
      <w:r>
        <w:rPr>
          <w:bCs/>
          <w:sz w:val="22"/>
          <w:szCs w:val="22"/>
        </w:rPr>
        <w:t xml:space="preserve"> </w:t>
      </w:r>
      <w:r w:rsidR="003F09AD">
        <w:rPr>
          <w:bCs/>
          <w:sz w:val="22"/>
          <w:szCs w:val="22"/>
        </w:rPr>
        <w:t>c</w:t>
      </w:r>
      <w:r w:rsidR="00DC4D01">
        <w:rPr>
          <w:bCs/>
          <w:sz w:val="22"/>
          <w:szCs w:val="22"/>
        </w:rPr>
        <w:t xml:space="preserve">ovariates related </w:t>
      </w:r>
      <w:r w:rsidR="00134ADE">
        <w:rPr>
          <w:bCs/>
          <w:sz w:val="22"/>
          <w:szCs w:val="22"/>
        </w:rPr>
        <w:t xml:space="preserve">to treatment include </w:t>
      </w:r>
      <w:r w:rsidR="003F09AD">
        <w:rPr>
          <w:bCs/>
          <w:sz w:val="22"/>
          <w:szCs w:val="22"/>
        </w:rPr>
        <w:t xml:space="preserve">drug-resistant type (i.e. </w:t>
      </w:r>
      <w:r w:rsidR="003F09AD">
        <w:rPr>
          <w:iCs/>
          <w:sz w:val="22"/>
          <w:szCs w:val="22"/>
        </w:rPr>
        <w:t>MDR, or extensively drug-resistant (XDR) TB</w:t>
      </w:r>
      <w:r w:rsidR="003F09AD">
        <w:rPr>
          <w:bCs/>
          <w:sz w:val="22"/>
          <w:szCs w:val="22"/>
        </w:rPr>
        <w:t xml:space="preserve">), </w:t>
      </w:r>
      <w:r w:rsidR="00A61290">
        <w:rPr>
          <w:bCs/>
          <w:sz w:val="22"/>
          <w:szCs w:val="22"/>
        </w:rPr>
        <w:t>if the patient took MDR-TB treatment</w:t>
      </w:r>
      <w:r w:rsidR="0014368B">
        <w:rPr>
          <w:bCs/>
          <w:sz w:val="22"/>
          <w:szCs w:val="22"/>
        </w:rPr>
        <w:t>s</w:t>
      </w:r>
      <w:r w:rsidR="00A61290">
        <w:rPr>
          <w:bCs/>
          <w:sz w:val="22"/>
          <w:szCs w:val="22"/>
        </w:rPr>
        <w:t xml:space="preserve"> or not,</w:t>
      </w:r>
      <w:r w:rsidR="003F09AD">
        <w:rPr>
          <w:bCs/>
          <w:sz w:val="22"/>
          <w:szCs w:val="22"/>
        </w:rPr>
        <w:t xml:space="preserve"> </w:t>
      </w:r>
      <w:r w:rsidR="00A61290">
        <w:rPr>
          <w:bCs/>
          <w:sz w:val="22"/>
          <w:szCs w:val="22"/>
        </w:rPr>
        <w:t xml:space="preserve">and </w:t>
      </w:r>
      <w:r w:rsidR="003F09AD">
        <w:rPr>
          <w:bCs/>
          <w:sz w:val="22"/>
          <w:szCs w:val="22"/>
        </w:rPr>
        <w:t>if</w:t>
      </w:r>
      <w:r w:rsidR="00A61290">
        <w:rPr>
          <w:bCs/>
          <w:sz w:val="22"/>
          <w:szCs w:val="22"/>
        </w:rPr>
        <w:t xml:space="preserve"> </w:t>
      </w:r>
      <w:r w:rsidR="0014368B">
        <w:rPr>
          <w:bCs/>
          <w:sz w:val="22"/>
          <w:szCs w:val="22"/>
        </w:rPr>
        <w:t xml:space="preserve">the case had TB-related treatment before the diagnosis of MDR-TB (suggesting acquired resistance) or the case was initially diagnosed as MDR-TB without any TB treatment before (suggesting primary resistance) </w:t>
      </w:r>
      <w:r w:rsidR="0014368B">
        <w:rPr>
          <w:bCs/>
          <w:sz w:val="22"/>
          <w:szCs w:val="22"/>
        </w:rPr>
        <w:fldChar w:fldCharType="begin"/>
      </w:r>
      <w:r w:rsidR="003A738A">
        <w:rPr>
          <w:bCs/>
          <w:sz w:val="22"/>
          <w:szCs w:val="22"/>
        </w:rPr>
        <w:instrText xml:space="preserve"> ADDIN ZOTERO_ITEM CSL_CITATION {"citationID":"fWRQPfQQ","properties":{"formattedCitation":"[24, 25]","plainCitation":"[24, 25]","noteIndex":0},"citationItems":[{"id":196,"uris":["http://zotero.org/users/4920080/items/UTLFXCYA"],"uri":["http://zotero.org/users/4920080/items/UTLFXCYA"],"itemData":{"id":196,"type":"article-journal","abstract":"Recent transmission of Mycobacterium tuberculosis, including multidrug-resistant strains, contributes substantially to tuberculosis disease in China. Sputum sme","container-title":"Clinical Infectious Diseases","DOI":"10.1093/cid/civ255","ISSN":"1058-4838","issue":"2","journalAbbreviation":"Clin Infect Dis","language":"en","page":"219-227","source":"academic.oup.com","title":"Transmission of Mycobacterium tuberculosis in China: A Population-Based Molecular Epidemiologic Study","title-short":"Transmission of Mycobacterium tuberculosis in China","volume":"61","author":[{"family":"Yang","given":"Chongguang"},{"family":"Shen","given":"Xin"},{"family":"Peng","given":"Ying"},{"family":"Lan","given":"Rushu"},{"family":"Zhao","given":"Yuling"},{"family":"Long","given":"Bo"},{"family":"Luo","given":"Tao"},{"family":"Sun","given":"Guomei"},{"family":"Li","given":"Xia"},{"family":"Qiao","given":"Ke"},{"family":"Gui","given":"Xiaohong"},{"family":"Wu","given":"Jie"},{"family":"Xu","given":"Jiying"},{"family":"Li","given":"Fabin"},{"family":"Li","given":"Dingyue"},{"family":"Liu","given":"Feiying"},{"family":"Shen","given":"Mei"},{"family":"Hong","given":"Jianjun"},{"family":"Mei","given":"Jian"},{"family":"DeRiemer","given":"Kathryn"},{"family":"Gao","given":"Qian"}],"issued":{"date-parts":[["2015",7,15]]}}},{"id":200,"uris":["http://zotero.org/users/4920080/items/52SGGAKL"],"uri":["http://zotero.org/users/4920080/items/52SGGAKL"],"itemData":{"id":200,"type":"article-journal","abstract":"&lt;h2&gt;Summary&lt;/h2&gt;&lt;h3&gt;Background&lt;/h3&gt;&lt;p&gt;Multidrug-resistance is a substantial threat to global elimination of tuberculosis. Understanding transmission patterns is crucial for control of the disease. We used a genomic and epidemiological approach to assess recent transmission of multidrug-resistant (MDR) tuberculosis and identify potential risk factors for transmission.&lt;/p&gt;&lt;h3&gt;Methods&lt;/h3&gt;&lt;p&gt;We did a population-based, retrospective study of patients who tested positive for tuberculosis between Jan 1, 2009, and Dec 31, 2012, in Shanghai, China. We did variable-number-of-tandem-repeat genotyping and whole-genome sequencing of isolates. We measured strain diversity within and between genomically clustered isolates. Genomic and epidemiological data were combined to construct transmission networks.&lt;/p&gt;&lt;h3&gt;Findings&lt;/h3&gt;&lt;p&gt;367 (5%) of 7982 patients with tuberculosis had MDR tuberculosis and 324 (88%) of these had isolates available for genomic analysis. 103 (32%) of the 324 MDR strains were in 38 genomic clusters that differed by 12 or fewer single nucleotide polymorphisms (SNPs), indicating recent transmission of MDR strains. Patients who had delayed diagnosis or were older than 45 years had high risk of recent transmission. 235 (73%) patients with MDR tuberculosis probably had transmission of MDR strains. Transmission network analysis showed that 33 (87%) of the 38 clusters accumulated additional drug-resistance mutations through emergence or fixation of mutations during transmission. 68 (66%) of 103 clustered MDR strains had compensatory mutations of rifampicin resistance.&lt;/p&gt;&lt;h3&gt;Interpretation&lt;/h3&gt;&lt;p&gt;Recent transmission of MDR tuberculosis strains, with increasing drug-resistance, drives the MDR tuberculosis epidemic in Shanghai, China. Whole-genome sequencing can measure of the heterogeneity of drug-resistant mutations within and between hosts and help to determine the transmission patterns of MDR tuberculosis.&lt;/p&gt;&lt;h3&gt;Funding&lt;/h3&gt;&lt;p&gt;National Science and Technology Major Project, National Natural Science Foundation of China, and US National Insitutes of Health.&lt;/p&gt;","container-title":"The Lancet Infectious Diseases","DOI":"10.1016/S1473-3099(16)30418-2","ISSN":"1473-3099, 1474-4457","issue":"3","journalAbbreviation":"The Lancet Infectious Diseases","language":"English","note":"PMID: 27919643, 27919643","page":"275-284","source":"www.thelancet.com","title":"Transmission of multidrug-resistant Mycobacterium tuberculosis in Shanghai, China: a retrospective observational study using whole-genome sequencing and epidemiological investigation","title-short":"Transmission of multidrug-resistant Mycobacterium tuberculosis in Shanghai, China","volume":"17","author":[{"family":"Yang","given":"Chongguang"},{"family":"Luo","given":"Tao"},{"family":"Shen","given":"Xin"},{"family":"Wu","given":"Jie"},{"family":"Gan","given":"Mingyu"},{"family":"Xu","given":"Peng"},{"family":"Wu","given":"Zheyuan"},{"family":"Lin","given":"Senlin"},{"family":"Tian","given":"Jiyun"},{"family":"Liu","given":"Qingyun"},{"family":"Yuan","given":"ZhengAn"},{"family":"Mei","given":"Jian"},{"family":"DeRiemer","given":"Kathryn"},{"family":"Gao","given":"Qian"}],"issued":{"date-parts":[["2017",3,1]]}}}],"schema":"https://github.com/citation-style-language/schema/raw/master/csl-citation.json"} </w:instrText>
      </w:r>
      <w:r w:rsidR="0014368B">
        <w:rPr>
          <w:bCs/>
          <w:sz w:val="22"/>
          <w:szCs w:val="22"/>
        </w:rPr>
        <w:fldChar w:fldCharType="separate"/>
      </w:r>
      <w:r w:rsidR="003A738A">
        <w:rPr>
          <w:bCs/>
          <w:noProof/>
          <w:sz w:val="22"/>
          <w:szCs w:val="22"/>
        </w:rPr>
        <w:t>[24, 25]</w:t>
      </w:r>
      <w:r w:rsidR="0014368B">
        <w:rPr>
          <w:bCs/>
          <w:sz w:val="22"/>
          <w:szCs w:val="22"/>
        </w:rPr>
        <w:fldChar w:fldCharType="end"/>
      </w:r>
      <w:r w:rsidR="003F09AD">
        <w:rPr>
          <w:bCs/>
          <w:sz w:val="22"/>
          <w:szCs w:val="22"/>
        </w:rPr>
        <w:t xml:space="preserve">; </w:t>
      </w:r>
      <w:r w:rsidR="005A3C0B">
        <w:rPr>
          <w:bCs/>
          <w:sz w:val="22"/>
          <w:szCs w:val="22"/>
        </w:rPr>
        <w:t xml:space="preserve">covariates related to environment include province (i.e. Zhejiang or Ningxia), place of residence (i.e. urban or rural), altitude as a proxy for meteorological factors, like temperature, monthly average nighttime light index (NTL) as a proxy for socio-economic and urbanization levels. NTL </w:t>
      </w:r>
      <w:r w:rsidR="005A3C0B">
        <w:rPr>
          <w:sz w:val="22"/>
          <w:szCs w:val="22"/>
        </w:rPr>
        <w:t>derived from satellite images represents light intensity level at night with values ranging from 0 to 63, with higher values indicating brighter light. The altitude and monthly NTL were publicly available</w:t>
      </w:r>
      <w:r w:rsidR="00C83F37">
        <w:rPr>
          <w:sz w:val="22"/>
          <w:szCs w:val="22"/>
        </w:rPr>
        <w:t xml:space="preserve"> from </w:t>
      </w:r>
      <w:r w:rsidR="005A3C0B">
        <w:rPr>
          <w:sz w:val="22"/>
          <w:szCs w:val="22"/>
        </w:rPr>
        <w:t>the NASA’s Socioeconomic Data and Applications Center</w:t>
      </w:r>
      <w:r w:rsidR="00C83F37">
        <w:rPr>
          <w:sz w:val="22"/>
          <w:szCs w:val="22"/>
        </w:rPr>
        <w:t xml:space="preserve"> </w:t>
      </w:r>
      <w:r w:rsidR="003C0E9C">
        <w:rPr>
          <w:sz w:val="22"/>
          <w:szCs w:val="22"/>
        </w:rPr>
        <w:t>with</w:t>
      </w:r>
      <w:r w:rsidR="00C83F37">
        <w:rPr>
          <w:sz w:val="22"/>
          <w:szCs w:val="22"/>
        </w:rPr>
        <w:t xml:space="preserve"> details about NTL data can be found in </w:t>
      </w:r>
      <w:r w:rsidR="00C83F37">
        <w:rPr>
          <w:sz w:val="22"/>
          <w:szCs w:val="22"/>
        </w:rPr>
        <w:fldChar w:fldCharType="begin"/>
      </w:r>
      <w:r w:rsidR="003A738A">
        <w:rPr>
          <w:sz w:val="22"/>
          <w:szCs w:val="22"/>
        </w:rPr>
        <w:instrText xml:space="preserve"> ADDIN ZOTERO_ITEM CSL_CITATION {"citationID":"uVgXtC4x","properties":{"formattedCitation":"[26]","plainCitation":"[26]","noteIndex":0},"citationItems":[{"id":228,"uris":["http://zotero.org/users/4920080/items/AMPR6DEA"],"uri":["http://zotero.org/users/4920080/items/AMPR6DEA"],"itemData":{"id":228,"type":"webpage","abstract":"Satellite images of Earth at night have been a curiosity for the public and a tool of fundamental research for at least 25 years. They have provided a broad, beautiful picture, showing how humans have shaped the planet and lit up the darkness.","genre":"Text.Article","language":"en","note":"source: earthobservatory.nasa.gov\npublisher: NASA Earth Observatory","title":"Earth at Night","URL":"https://earthobservatory.nasa.gov/features/NightLights","accessed":{"date-parts":[["2020",7,7]]},"issued":{"date-parts":[["2017",4,12]]}}}],"schema":"https://github.com/citation-style-language/schema/raw/master/csl-citation.json"} </w:instrText>
      </w:r>
      <w:r w:rsidR="00C83F37">
        <w:rPr>
          <w:sz w:val="22"/>
          <w:szCs w:val="22"/>
        </w:rPr>
        <w:fldChar w:fldCharType="separate"/>
      </w:r>
      <w:r w:rsidR="003A738A">
        <w:rPr>
          <w:noProof/>
          <w:sz w:val="22"/>
          <w:szCs w:val="22"/>
        </w:rPr>
        <w:t>[26]</w:t>
      </w:r>
      <w:r w:rsidR="00C83F37">
        <w:rPr>
          <w:sz w:val="22"/>
          <w:szCs w:val="22"/>
        </w:rPr>
        <w:fldChar w:fldCharType="end"/>
      </w:r>
      <w:r w:rsidR="00C83F37">
        <w:rPr>
          <w:sz w:val="22"/>
          <w:szCs w:val="22"/>
        </w:rPr>
        <w:t>. The monthly average NTL values were also calculated and linked</w:t>
      </w:r>
      <w:r w:rsidR="00C83F37" w:rsidRPr="00C83F37">
        <w:rPr>
          <w:sz w:val="22"/>
          <w:szCs w:val="22"/>
        </w:rPr>
        <w:t xml:space="preserve"> </w:t>
      </w:r>
      <w:r w:rsidR="00C83F37">
        <w:rPr>
          <w:sz w:val="22"/>
          <w:szCs w:val="22"/>
        </w:rPr>
        <w:t>patient</w:t>
      </w:r>
      <w:r w:rsidR="00BF7639">
        <w:rPr>
          <w:sz w:val="22"/>
          <w:szCs w:val="22"/>
        </w:rPr>
        <w:t>s</w:t>
      </w:r>
      <w:r w:rsidR="00C83F37">
        <w:rPr>
          <w:sz w:val="22"/>
          <w:szCs w:val="22"/>
        </w:rPr>
        <w:t xml:space="preserve"> during the follow-up </w:t>
      </w:r>
      <w:r w:rsidR="00BF7639">
        <w:rPr>
          <w:sz w:val="22"/>
          <w:szCs w:val="22"/>
        </w:rPr>
        <w:t xml:space="preserve">according to their home addresses.  </w:t>
      </w:r>
      <w:r w:rsidR="00C83F37">
        <w:rPr>
          <w:sz w:val="22"/>
          <w:szCs w:val="22"/>
        </w:rPr>
        <w:t xml:space="preserve">   </w:t>
      </w:r>
      <w:r w:rsidR="005A3C0B">
        <w:rPr>
          <w:bCs/>
          <w:sz w:val="22"/>
          <w:szCs w:val="22"/>
        </w:rPr>
        <w:t xml:space="preserve">  </w:t>
      </w:r>
    </w:p>
    <w:p w14:paraId="61B54F57" w14:textId="7EAB8F4B" w:rsidR="004B22EB" w:rsidRPr="001A46DC" w:rsidRDefault="004B22EB" w:rsidP="007719C5">
      <w:pPr>
        <w:spacing w:line="480" w:lineRule="auto"/>
        <w:rPr>
          <w:sz w:val="22"/>
          <w:szCs w:val="22"/>
        </w:rPr>
      </w:pPr>
    </w:p>
    <w:p w14:paraId="2B05A204" w14:textId="28DC1145" w:rsidR="00BF7639" w:rsidRPr="007308BA" w:rsidRDefault="00585F0E" w:rsidP="007719C5">
      <w:pPr>
        <w:spacing w:line="480" w:lineRule="auto"/>
        <w:rPr>
          <w:b/>
          <w:bCs/>
          <w:i/>
          <w:sz w:val="22"/>
          <w:szCs w:val="22"/>
        </w:rPr>
      </w:pPr>
      <w:r w:rsidRPr="00585F0E">
        <w:rPr>
          <w:b/>
          <w:bCs/>
          <w:i/>
          <w:sz w:val="22"/>
          <w:szCs w:val="22"/>
        </w:rPr>
        <w:lastRenderedPageBreak/>
        <w:t xml:space="preserve">Statistical analysis </w:t>
      </w:r>
    </w:p>
    <w:p w14:paraId="322D9F1D" w14:textId="488C7850" w:rsidR="00737890" w:rsidRDefault="00BF7639" w:rsidP="007719C5">
      <w:pPr>
        <w:spacing w:line="480" w:lineRule="auto"/>
        <w:rPr>
          <w:bCs/>
          <w:sz w:val="22"/>
          <w:szCs w:val="22"/>
        </w:rPr>
      </w:pPr>
      <w:r>
        <w:rPr>
          <w:bCs/>
          <w:sz w:val="22"/>
          <w:szCs w:val="22"/>
        </w:rPr>
        <w:t xml:space="preserve">The number and proportion of MDR-TB patients were stratified by individual characteristics, treatment history, and environment where they live across </w:t>
      </w:r>
      <w:proofErr w:type="spellStart"/>
      <w:r>
        <w:rPr>
          <w:bCs/>
          <w:sz w:val="22"/>
          <w:szCs w:val="22"/>
        </w:rPr>
        <w:t>tertile</w:t>
      </w:r>
      <w:r w:rsidR="003C0E9C">
        <w:rPr>
          <w:bCs/>
          <w:sz w:val="22"/>
          <w:szCs w:val="22"/>
        </w:rPr>
        <w:t>s</w:t>
      </w:r>
      <w:proofErr w:type="spellEnd"/>
      <w:r>
        <w:rPr>
          <w:bCs/>
          <w:sz w:val="22"/>
          <w:szCs w:val="22"/>
        </w:rPr>
        <w:t xml:space="preserve"> of NDVI. </w:t>
      </w:r>
      <w:r w:rsidR="00BB7C36">
        <w:rPr>
          <w:bCs/>
          <w:sz w:val="22"/>
          <w:szCs w:val="22"/>
        </w:rPr>
        <w:t xml:space="preserve">The association between </w:t>
      </w:r>
      <w:r w:rsidR="00AD0F05">
        <w:rPr>
          <w:bCs/>
          <w:sz w:val="22"/>
          <w:szCs w:val="22"/>
        </w:rPr>
        <w:t>PM</w:t>
      </w:r>
      <w:r w:rsidR="00AD0F05" w:rsidRPr="00AD0F05">
        <w:rPr>
          <w:bCs/>
          <w:sz w:val="22"/>
          <w:szCs w:val="22"/>
          <w:vertAlign w:val="subscript"/>
        </w:rPr>
        <w:t>2.5</w:t>
      </w:r>
      <w:r w:rsidR="00AD0F05">
        <w:rPr>
          <w:bCs/>
          <w:sz w:val="22"/>
          <w:szCs w:val="22"/>
        </w:rPr>
        <w:t xml:space="preserve"> and mortality </w:t>
      </w:r>
      <w:proofErr w:type="gramStart"/>
      <w:r w:rsidR="00BB7C36">
        <w:rPr>
          <w:bCs/>
          <w:sz w:val="22"/>
          <w:szCs w:val="22"/>
        </w:rPr>
        <w:t>was</w:t>
      </w:r>
      <w:proofErr w:type="gramEnd"/>
      <w:r w:rsidR="00BB7C36">
        <w:rPr>
          <w:bCs/>
          <w:sz w:val="22"/>
          <w:szCs w:val="22"/>
        </w:rPr>
        <w:t xml:space="preserve"> assessed using the Cox proportional hazards regression model</w:t>
      </w:r>
      <w:r w:rsidR="00DC2BF1">
        <w:rPr>
          <w:bCs/>
          <w:sz w:val="22"/>
          <w:szCs w:val="22"/>
        </w:rPr>
        <w:t xml:space="preserve"> </w:t>
      </w:r>
      <w:r w:rsidR="00AD0F05">
        <w:rPr>
          <w:bCs/>
          <w:sz w:val="22"/>
          <w:szCs w:val="22"/>
        </w:rPr>
        <w:t>with O</w:t>
      </w:r>
      <w:r w:rsidR="00AD0F05" w:rsidRPr="00AD0F05">
        <w:rPr>
          <w:bCs/>
          <w:sz w:val="22"/>
          <w:szCs w:val="22"/>
          <w:vertAlign w:val="subscript"/>
        </w:rPr>
        <w:t>x</w:t>
      </w:r>
      <w:r w:rsidR="00AD0F05">
        <w:rPr>
          <w:bCs/>
          <w:sz w:val="22"/>
          <w:szCs w:val="22"/>
        </w:rPr>
        <w:t xml:space="preserve"> adjusted </w:t>
      </w:r>
      <w:r w:rsidR="00DC2BF1">
        <w:rPr>
          <w:bCs/>
          <w:sz w:val="22"/>
          <w:szCs w:val="22"/>
        </w:rPr>
        <w:t xml:space="preserve">for the </w:t>
      </w:r>
      <w:r w:rsidR="00C914BF">
        <w:rPr>
          <w:bCs/>
          <w:sz w:val="22"/>
          <w:szCs w:val="22"/>
        </w:rPr>
        <w:t>full</w:t>
      </w:r>
      <w:r w:rsidR="00DC2BF1">
        <w:rPr>
          <w:bCs/>
          <w:sz w:val="22"/>
          <w:szCs w:val="22"/>
        </w:rPr>
        <w:t xml:space="preserve"> cohort and the three </w:t>
      </w:r>
      <w:proofErr w:type="spellStart"/>
      <w:r w:rsidR="00DC2BF1">
        <w:rPr>
          <w:bCs/>
          <w:sz w:val="22"/>
          <w:szCs w:val="22"/>
        </w:rPr>
        <w:t>tertiles</w:t>
      </w:r>
      <w:proofErr w:type="spellEnd"/>
      <w:r w:rsidR="00DC2BF1">
        <w:rPr>
          <w:bCs/>
          <w:sz w:val="22"/>
          <w:szCs w:val="22"/>
        </w:rPr>
        <w:t xml:space="preserve">, separately. </w:t>
      </w:r>
      <w:r w:rsidR="00BE692B">
        <w:rPr>
          <w:rFonts w:hint="eastAsia"/>
          <w:bCs/>
          <w:sz w:val="22"/>
          <w:szCs w:val="22"/>
        </w:rPr>
        <w:t>Ha</w:t>
      </w:r>
      <w:r w:rsidR="00BE692B">
        <w:rPr>
          <w:bCs/>
          <w:sz w:val="22"/>
          <w:szCs w:val="22"/>
        </w:rPr>
        <w:t xml:space="preserve">zard ratios were calculated per 10 </w:t>
      </w:r>
      <w:r w:rsidR="00BE692B">
        <w:rPr>
          <w:bCs/>
          <w:sz w:val="22"/>
          <w:szCs w:val="22"/>
        </w:rPr>
        <w:sym w:font="Symbol" w:char="F06D"/>
      </w:r>
      <w:r w:rsidR="00BE692B">
        <w:rPr>
          <w:bCs/>
          <w:sz w:val="22"/>
          <w:szCs w:val="22"/>
        </w:rPr>
        <w:t>g/m</w:t>
      </w:r>
      <w:r w:rsidR="00BE692B" w:rsidRPr="00DC2BF1">
        <w:rPr>
          <w:bCs/>
          <w:sz w:val="22"/>
          <w:szCs w:val="22"/>
          <w:vertAlign w:val="superscript"/>
        </w:rPr>
        <w:t>3</w:t>
      </w:r>
      <w:r w:rsidR="00BE692B">
        <w:rPr>
          <w:bCs/>
          <w:sz w:val="22"/>
          <w:szCs w:val="22"/>
          <w:vertAlign w:val="superscript"/>
        </w:rPr>
        <w:t xml:space="preserve"> </w:t>
      </w:r>
      <w:r w:rsidR="00BE692B">
        <w:rPr>
          <w:bCs/>
          <w:sz w:val="22"/>
          <w:szCs w:val="22"/>
        </w:rPr>
        <w:t xml:space="preserve">and presented </w:t>
      </w:r>
      <w:r w:rsidR="006E1917">
        <w:rPr>
          <w:bCs/>
          <w:sz w:val="22"/>
          <w:szCs w:val="22"/>
        </w:rPr>
        <w:t xml:space="preserve">with 95% confidence intervals. The three domains of covariates were included in multivariable Cox proportional hazard regression models to adjust for potential confounding. </w:t>
      </w:r>
      <w:r w:rsidR="00D66D8A">
        <w:rPr>
          <w:bCs/>
          <w:sz w:val="22"/>
          <w:szCs w:val="22"/>
        </w:rPr>
        <w:t xml:space="preserve">We used the plots of the Martingale-based residuals to </w:t>
      </w:r>
      <w:r w:rsidR="00D66D8A">
        <w:rPr>
          <w:rFonts w:hint="eastAsia"/>
          <w:bCs/>
          <w:sz w:val="22"/>
          <w:szCs w:val="22"/>
        </w:rPr>
        <w:t>c</w:t>
      </w:r>
      <w:r w:rsidR="00D66D8A">
        <w:rPr>
          <w:bCs/>
          <w:sz w:val="22"/>
          <w:szCs w:val="22"/>
        </w:rPr>
        <w:t xml:space="preserve">heck violation of </w:t>
      </w:r>
      <w:r w:rsidR="00737890">
        <w:rPr>
          <w:bCs/>
          <w:sz w:val="22"/>
          <w:szCs w:val="22"/>
        </w:rPr>
        <w:t>the proportional hazard assumption</w:t>
      </w:r>
      <w:r w:rsidR="002B35C6">
        <w:rPr>
          <w:bCs/>
          <w:sz w:val="22"/>
          <w:szCs w:val="22"/>
        </w:rPr>
        <w:t xml:space="preserve"> </w:t>
      </w:r>
      <w:r w:rsidR="006E1917">
        <w:rPr>
          <w:bCs/>
          <w:sz w:val="22"/>
          <w:szCs w:val="22"/>
        </w:rPr>
        <w:fldChar w:fldCharType="begin"/>
      </w:r>
      <w:r w:rsidR="003A738A">
        <w:rPr>
          <w:bCs/>
          <w:sz w:val="22"/>
          <w:szCs w:val="22"/>
        </w:rPr>
        <w:instrText xml:space="preserve"> ADDIN ZOTERO_ITEM CSL_CITATION {"citationID":"GeGi5XRi","properties":{"formattedCitation":"[27]","plainCitation":"[27]","noteIndex":0},"citationItems":[{"id":227,"uris":["http://zotero.org/users/4920080/items/BZ44VAU9"],"uri":["http://zotero.org/users/4920080/items/BZ44VAU9"],"itemData":{"id":227,"type":"article-journal","abstract":"This paper presents a new class of graphical and numerical methods for checking the adequacy of the Cox regression model. The procedures are derived from cumulative sums of martingale-based residuals over follow-up time and/or covariate values. The distributions of these stochastic processes under the assumed model can be approximated by zero-mean Gaussian processes. Each observed process can then be compared, both visually and analytically, with a number of simulated realizations from the approximate null distribution. These comparisons enable the data analyst to assess objectively how unusual the observed residual patterns are. Special attention is given to checking the functional form of a covariate, the form of the link function, and the validity of the proportional hazards assumption. An omnibus test, consistent against any model misspecification, is also studied. The proposed techniques are illustrated with two real data sets.","archive":"JSTOR","container-title":"Biometrika","DOI":"10.2307/2337177","ISSN":"0006-3444","issue":"3","note":"publisher: [Oxford University Press, Biometrika Trust]","page":"557-572","source":"JSTOR","title":"Checking the Cox Model with Cumulative Sums of Martingale-Based Residuals","volume":"80","author":[{"family":"Lin","given":"D. Y."},{"family":"Wei","given":"L. J."},{"family":"Ying","given":"Z."}],"issued":{"date-parts":[["1993"]]}}}],"schema":"https://github.com/citation-style-language/schema/raw/master/csl-citation.json"} </w:instrText>
      </w:r>
      <w:r w:rsidR="006E1917">
        <w:rPr>
          <w:bCs/>
          <w:sz w:val="22"/>
          <w:szCs w:val="22"/>
        </w:rPr>
        <w:fldChar w:fldCharType="separate"/>
      </w:r>
      <w:r w:rsidR="003A738A">
        <w:rPr>
          <w:bCs/>
          <w:noProof/>
          <w:sz w:val="22"/>
          <w:szCs w:val="22"/>
        </w:rPr>
        <w:t>[27]</w:t>
      </w:r>
      <w:r w:rsidR="006E1917">
        <w:rPr>
          <w:bCs/>
          <w:sz w:val="22"/>
          <w:szCs w:val="22"/>
        </w:rPr>
        <w:fldChar w:fldCharType="end"/>
      </w:r>
      <w:r w:rsidR="002B35C6">
        <w:rPr>
          <w:bCs/>
          <w:sz w:val="22"/>
          <w:szCs w:val="22"/>
        </w:rPr>
        <w:t xml:space="preserve">. </w:t>
      </w:r>
      <w:r w:rsidR="00737890">
        <w:rPr>
          <w:bCs/>
          <w:sz w:val="22"/>
          <w:szCs w:val="22"/>
        </w:rPr>
        <w:t xml:space="preserve">Covariates </w:t>
      </w:r>
      <w:r w:rsidR="00335AAC">
        <w:rPr>
          <w:rFonts w:hint="eastAsia"/>
          <w:bCs/>
          <w:sz w:val="22"/>
          <w:szCs w:val="22"/>
        </w:rPr>
        <w:t>that</w:t>
      </w:r>
      <w:r w:rsidR="00335AAC">
        <w:rPr>
          <w:bCs/>
          <w:sz w:val="22"/>
          <w:szCs w:val="22"/>
        </w:rPr>
        <w:t xml:space="preserve"> </w:t>
      </w:r>
      <w:r w:rsidR="00737890">
        <w:rPr>
          <w:bCs/>
          <w:sz w:val="22"/>
          <w:szCs w:val="22"/>
        </w:rPr>
        <w:t xml:space="preserve">could not meet the proportional hazards assumption were excluded from the regression. </w:t>
      </w:r>
    </w:p>
    <w:p w14:paraId="7AEA7171" w14:textId="03AAB889" w:rsidR="005B60E2" w:rsidRPr="00737890" w:rsidRDefault="005B60E2" w:rsidP="007719C5">
      <w:pPr>
        <w:spacing w:line="480" w:lineRule="auto"/>
        <w:rPr>
          <w:bCs/>
          <w:sz w:val="22"/>
          <w:szCs w:val="22"/>
        </w:rPr>
      </w:pPr>
    </w:p>
    <w:p w14:paraId="47761B56" w14:textId="49519321" w:rsidR="00737890" w:rsidRPr="00737890" w:rsidRDefault="006E1917" w:rsidP="007719C5">
      <w:pPr>
        <w:spacing w:line="480" w:lineRule="auto"/>
        <w:rPr>
          <w:bCs/>
          <w:sz w:val="22"/>
          <w:szCs w:val="22"/>
        </w:rPr>
      </w:pPr>
      <w:r>
        <w:rPr>
          <w:bCs/>
          <w:sz w:val="22"/>
          <w:szCs w:val="22"/>
        </w:rPr>
        <w:t>S</w:t>
      </w:r>
      <w:r w:rsidR="00AD0F05">
        <w:rPr>
          <w:bCs/>
          <w:sz w:val="22"/>
          <w:szCs w:val="22"/>
        </w:rPr>
        <w:t>ensitivity analyses</w:t>
      </w:r>
      <w:r>
        <w:rPr>
          <w:bCs/>
          <w:sz w:val="22"/>
          <w:szCs w:val="22"/>
        </w:rPr>
        <w:t xml:space="preserve"> were implemented</w:t>
      </w:r>
      <w:r w:rsidR="00AD0F05">
        <w:rPr>
          <w:bCs/>
          <w:sz w:val="22"/>
          <w:szCs w:val="22"/>
        </w:rPr>
        <w:t xml:space="preserve"> </w:t>
      </w:r>
      <w:r w:rsidR="00737890">
        <w:rPr>
          <w:bCs/>
          <w:sz w:val="22"/>
          <w:szCs w:val="22"/>
        </w:rPr>
        <w:t xml:space="preserve">through a series </w:t>
      </w:r>
      <w:r w:rsidR="00610DEA">
        <w:rPr>
          <w:bCs/>
          <w:sz w:val="22"/>
          <w:szCs w:val="22"/>
        </w:rPr>
        <w:t xml:space="preserve">subgroup </w:t>
      </w:r>
      <w:r w:rsidR="00737890">
        <w:rPr>
          <w:bCs/>
          <w:sz w:val="22"/>
          <w:szCs w:val="22"/>
        </w:rPr>
        <w:t>test</w:t>
      </w:r>
      <w:r w:rsidR="00610DEA">
        <w:rPr>
          <w:bCs/>
          <w:sz w:val="22"/>
          <w:szCs w:val="22"/>
        </w:rPr>
        <w:t>s</w:t>
      </w:r>
      <w:r w:rsidR="00737890">
        <w:rPr>
          <w:bCs/>
          <w:sz w:val="22"/>
          <w:szCs w:val="22"/>
        </w:rPr>
        <w:t xml:space="preserve"> for the </w:t>
      </w:r>
      <w:r w:rsidR="00610DEA">
        <w:rPr>
          <w:bCs/>
          <w:sz w:val="22"/>
          <w:szCs w:val="22"/>
        </w:rPr>
        <w:t xml:space="preserve">effect modification by </w:t>
      </w:r>
      <w:r w:rsidR="0027781F">
        <w:rPr>
          <w:bCs/>
          <w:sz w:val="22"/>
          <w:szCs w:val="22"/>
        </w:rPr>
        <w:t>age, sex, treatment</w:t>
      </w:r>
      <w:r w:rsidR="00656D0B">
        <w:rPr>
          <w:bCs/>
          <w:sz w:val="22"/>
          <w:szCs w:val="22"/>
        </w:rPr>
        <w:t xml:space="preserve"> (treated vs </w:t>
      </w:r>
      <w:r w:rsidR="00EF3545">
        <w:rPr>
          <w:bCs/>
          <w:sz w:val="22"/>
          <w:szCs w:val="22"/>
        </w:rPr>
        <w:t xml:space="preserve">untreated, </w:t>
      </w:r>
      <w:r w:rsidR="00656D0B">
        <w:rPr>
          <w:bCs/>
          <w:sz w:val="22"/>
          <w:szCs w:val="22"/>
        </w:rPr>
        <w:t>primary resistance vs acquired resistance)</w:t>
      </w:r>
      <w:r w:rsidR="0027781F">
        <w:rPr>
          <w:bCs/>
          <w:sz w:val="22"/>
          <w:szCs w:val="22"/>
        </w:rPr>
        <w:t xml:space="preserve">, living areas (urban </w:t>
      </w:r>
      <w:r w:rsidR="00656D0B">
        <w:rPr>
          <w:bCs/>
          <w:sz w:val="22"/>
          <w:szCs w:val="22"/>
        </w:rPr>
        <w:t>vs</w:t>
      </w:r>
      <w:r w:rsidR="0027781F">
        <w:rPr>
          <w:bCs/>
          <w:sz w:val="22"/>
          <w:szCs w:val="22"/>
        </w:rPr>
        <w:t xml:space="preserve"> rural)</w:t>
      </w:r>
      <w:r w:rsidR="00A20605">
        <w:rPr>
          <w:bCs/>
          <w:sz w:val="22"/>
          <w:szCs w:val="22"/>
        </w:rPr>
        <w:t xml:space="preserve">, and province (Zhejiang vs. Ningxia). </w:t>
      </w:r>
      <w:r w:rsidR="00610DEA">
        <w:rPr>
          <w:bCs/>
          <w:sz w:val="22"/>
          <w:szCs w:val="22"/>
        </w:rPr>
        <w:t xml:space="preserve">We fitted separate multivariable Cox models for groups and </w:t>
      </w:r>
      <w:r w:rsidR="00610DEA">
        <w:rPr>
          <w:sz w:val="22"/>
          <w:szCs w:val="22"/>
        </w:rPr>
        <w:t xml:space="preserve">reported the strata-specific effects at a </w:t>
      </w:r>
      <w:r w:rsidR="00610DEA" w:rsidRPr="00B01A21">
        <w:rPr>
          <w:iCs/>
          <w:sz w:val="22"/>
          <w:szCs w:val="22"/>
        </w:rPr>
        <w:t>p</w:t>
      </w:r>
      <w:r w:rsidR="00610DEA">
        <w:rPr>
          <w:sz w:val="22"/>
          <w:szCs w:val="22"/>
        </w:rPr>
        <w:t>-value &lt; 0.05.</w:t>
      </w:r>
    </w:p>
    <w:p w14:paraId="53D89C6E" w14:textId="5993A715" w:rsidR="005B60E2" w:rsidRDefault="005B60E2" w:rsidP="007719C5">
      <w:pPr>
        <w:spacing w:line="480" w:lineRule="auto"/>
        <w:rPr>
          <w:b/>
          <w:bCs/>
          <w:sz w:val="22"/>
          <w:szCs w:val="22"/>
        </w:rPr>
      </w:pPr>
    </w:p>
    <w:p w14:paraId="359167C1" w14:textId="54F0CB81" w:rsidR="00A84F82" w:rsidRPr="009625EF" w:rsidRDefault="00AD0F05" w:rsidP="007719C5">
      <w:pPr>
        <w:spacing w:line="480" w:lineRule="auto"/>
        <w:rPr>
          <w:bCs/>
          <w:sz w:val="22"/>
          <w:szCs w:val="22"/>
        </w:rPr>
      </w:pPr>
      <w:r>
        <w:rPr>
          <w:bCs/>
          <w:sz w:val="22"/>
          <w:szCs w:val="22"/>
        </w:rPr>
        <w:t xml:space="preserve">We examined the linearity of exposure-response relationships for the </w:t>
      </w:r>
      <w:r w:rsidR="00C914BF">
        <w:rPr>
          <w:bCs/>
          <w:sz w:val="22"/>
          <w:szCs w:val="22"/>
        </w:rPr>
        <w:t>full</w:t>
      </w:r>
      <w:r>
        <w:rPr>
          <w:bCs/>
          <w:sz w:val="22"/>
          <w:szCs w:val="22"/>
        </w:rPr>
        <w:t xml:space="preserve"> cohort and the three </w:t>
      </w:r>
      <w:proofErr w:type="spellStart"/>
      <w:r>
        <w:rPr>
          <w:bCs/>
          <w:sz w:val="22"/>
          <w:szCs w:val="22"/>
        </w:rPr>
        <w:t>tertiles</w:t>
      </w:r>
      <w:proofErr w:type="spellEnd"/>
      <w:r>
        <w:rPr>
          <w:bCs/>
          <w:sz w:val="22"/>
          <w:szCs w:val="22"/>
        </w:rPr>
        <w:t xml:space="preserve"> of NDVI using the cubic regression spline</w:t>
      </w:r>
      <w:r w:rsidR="00684071">
        <w:rPr>
          <w:bCs/>
          <w:sz w:val="22"/>
          <w:szCs w:val="22"/>
        </w:rPr>
        <w:t xml:space="preserve"> </w:t>
      </w:r>
      <w:r w:rsidR="00684071">
        <w:rPr>
          <w:bCs/>
          <w:sz w:val="22"/>
          <w:szCs w:val="22"/>
        </w:rPr>
        <w:fldChar w:fldCharType="begin"/>
      </w:r>
      <w:r w:rsidR="003A738A">
        <w:rPr>
          <w:bCs/>
          <w:sz w:val="22"/>
          <w:szCs w:val="22"/>
        </w:rPr>
        <w:instrText xml:space="preserve"> ADDIN ZOTERO_ITEM CSL_CITATION {"citationID":"j11AmxNs","properties":{"formattedCitation":"[28]","plainCitation":"[28]","noteIndex":0},"citationItems":[{"id":221,"uris":["http://zotero.org/users/4920080/items/7E8VNVAX"],"uri":["http://zotero.org/users/4920080/items/7E8VNVAX"],"itemData":{"id":221,"type":"book","event-place":"New York, NY","ISBN":"978-1-4757-3462-1","publisher":"Springer-Verlag","publisher-place":"New York, NY","title":"Regression modeling strategies with applications to linear models, logistic regression and survival analysis.","author":[{"family":"Harrell","given":"Frank"}],"issued":{"date-parts":[["2001"]]}}}],"schema":"https://github.com/citation-style-language/schema/raw/master/csl-citation.json"} </w:instrText>
      </w:r>
      <w:r w:rsidR="00684071">
        <w:rPr>
          <w:bCs/>
          <w:sz w:val="22"/>
          <w:szCs w:val="22"/>
        </w:rPr>
        <w:fldChar w:fldCharType="separate"/>
      </w:r>
      <w:r w:rsidR="003A738A">
        <w:rPr>
          <w:bCs/>
          <w:noProof/>
          <w:sz w:val="22"/>
          <w:szCs w:val="22"/>
        </w:rPr>
        <w:t>[28]</w:t>
      </w:r>
      <w:r w:rsidR="00684071">
        <w:rPr>
          <w:bCs/>
          <w:sz w:val="22"/>
          <w:szCs w:val="22"/>
        </w:rPr>
        <w:fldChar w:fldCharType="end"/>
      </w:r>
      <w:r>
        <w:rPr>
          <w:bCs/>
          <w:sz w:val="22"/>
          <w:szCs w:val="22"/>
        </w:rPr>
        <w:t>.</w:t>
      </w:r>
      <w:r w:rsidR="00271088">
        <w:rPr>
          <w:bCs/>
          <w:sz w:val="22"/>
          <w:szCs w:val="22"/>
        </w:rPr>
        <w:t xml:space="preserve"> </w:t>
      </w:r>
      <w:r w:rsidR="000E39FF">
        <w:rPr>
          <w:bCs/>
          <w:sz w:val="22"/>
          <w:szCs w:val="22"/>
        </w:rPr>
        <w:t>Additionally, s</w:t>
      </w:r>
      <w:r w:rsidR="00FF4042">
        <w:rPr>
          <w:bCs/>
          <w:sz w:val="22"/>
          <w:szCs w:val="22"/>
        </w:rPr>
        <w:t xml:space="preserve">tatistical tests were </w:t>
      </w:r>
      <w:r w:rsidR="000E39FF">
        <w:rPr>
          <w:bCs/>
          <w:sz w:val="22"/>
          <w:szCs w:val="22"/>
        </w:rPr>
        <w:t xml:space="preserve">further </w:t>
      </w:r>
      <w:r w:rsidR="00A04B45">
        <w:rPr>
          <w:bCs/>
          <w:sz w:val="22"/>
          <w:szCs w:val="22"/>
        </w:rPr>
        <w:t>conducted</w:t>
      </w:r>
      <w:r w:rsidR="00FF4042">
        <w:rPr>
          <w:bCs/>
          <w:sz w:val="22"/>
          <w:szCs w:val="22"/>
        </w:rPr>
        <w:t xml:space="preserve"> to examine if </w:t>
      </w:r>
      <w:r w:rsidR="00FB2833">
        <w:rPr>
          <w:bCs/>
          <w:sz w:val="22"/>
          <w:szCs w:val="22"/>
        </w:rPr>
        <w:t>the HRs</w:t>
      </w:r>
      <w:r w:rsidR="00FE10ED">
        <w:rPr>
          <w:bCs/>
          <w:sz w:val="22"/>
          <w:szCs w:val="22"/>
        </w:rPr>
        <w:t xml:space="preserve"> were significantly different </w:t>
      </w:r>
      <w:r w:rsidR="00541BB4">
        <w:rPr>
          <w:bCs/>
          <w:sz w:val="22"/>
          <w:szCs w:val="22"/>
        </w:rPr>
        <w:t xml:space="preserve">in the three different </w:t>
      </w:r>
      <w:proofErr w:type="spellStart"/>
      <w:r w:rsidR="00541BB4">
        <w:rPr>
          <w:bCs/>
          <w:sz w:val="22"/>
          <w:szCs w:val="22"/>
        </w:rPr>
        <w:t>tertiles</w:t>
      </w:r>
      <w:proofErr w:type="spellEnd"/>
      <w:r w:rsidR="00541BB4">
        <w:rPr>
          <w:bCs/>
          <w:sz w:val="22"/>
          <w:szCs w:val="22"/>
        </w:rPr>
        <w:t xml:space="preserve"> and if </w:t>
      </w:r>
      <w:r w:rsidR="00AF430F">
        <w:rPr>
          <w:bCs/>
          <w:sz w:val="22"/>
          <w:szCs w:val="22"/>
        </w:rPr>
        <w:t>the risk of PM</w:t>
      </w:r>
      <w:r w:rsidR="00AF430F" w:rsidRPr="00DC449D">
        <w:rPr>
          <w:bCs/>
          <w:sz w:val="22"/>
          <w:szCs w:val="22"/>
          <w:vertAlign w:val="subscript"/>
        </w:rPr>
        <w:t>2.5</w:t>
      </w:r>
      <w:r w:rsidR="00AF430F" w:rsidRPr="00DF6AB9">
        <w:rPr>
          <w:bCs/>
          <w:sz w:val="22"/>
          <w:szCs w:val="22"/>
        </w:rPr>
        <w:t>-</w:t>
      </w:r>
      <w:r w:rsidR="00AF430F">
        <w:rPr>
          <w:bCs/>
          <w:sz w:val="22"/>
          <w:szCs w:val="22"/>
        </w:rPr>
        <w:t xml:space="preserve">related mortality was lower </w:t>
      </w:r>
      <w:r w:rsidR="001863C3">
        <w:rPr>
          <w:bCs/>
          <w:sz w:val="22"/>
          <w:szCs w:val="22"/>
        </w:rPr>
        <w:t xml:space="preserve">for the patients with greater greenness. </w:t>
      </w:r>
      <w:r>
        <w:rPr>
          <w:bCs/>
          <w:sz w:val="22"/>
          <w:szCs w:val="22"/>
        </w:rPr>
        <w:t xml:space="preserve">All the statistical analyses were carried out </w:t>
      </w:r>
      <w:r>
        <w:rPr>
          <w:sz w:val="22"/>
          <w:szCs w:val="22"/>
        </w:rPr>
        <w:t xml:space="preserve">using </w:t>
      </w:r>
      <w:r w:rsidRPr="00AD0F05">
        <w:rPr>
          <w:i/>
          <w:sz w:val="22"/>
          <w:szCs w:val="22"/>
        </w:rPr>
        <w:t xml:space="preserve">R </w:t>
      </w:r>
      <w:r>
        <w:rPr>
          <w:sz w:val="22"/>
          <w:szCs w:val="22"/>
        </w:rPr>
        <w:t xml:space="preserve">v.3.5.3 with the ‘survival’ package. </w:t>
      </w:r>
    </w:p>
    <w:p w14:paraId="096D8FD9" w14:textId="77777777" w:rsidR="009625EF" w:rsidRDefault="009625EF" w:rsidP="007719C5">
      <w:pPr>
        <w:spacing w:line="480" w:lineRule="auto"/>
        <w:rPr>
          <w:b/>
          <w:bCs/>
          <w:sz w:val="22"/>
          <w:szCs w:val="22"/>
        </w:rPr>
      </w:pPr>
    </w:p>
    <w:p w14:paraId="54467CEA" w14:textId="0B71B537" w:rsidR="00585F0E" w:rsidRPr="00585F0E" w:rsidRDefault="00585F0E" w:rsidP="007719C5">
      <w:pPr>
        <w:spacing w:line="480" w:lineRule="auto"/>
        <w:rPr>
          <w:b/>
          <w:bCs/>
          <w:i/>
          <w:sz w:val="22"/>
          <w:szCs w:val="22"/>
        </w:rPr>
      </w:pPr>
      <w:r w:rsidRPr="00585F0E">
        <w:rPr>
          <w:b/>
          <w:bCs/>
          <w:i/>
          <w:sz w:val="22"/>
          <w:szCs w:val="22"/>
        </w:rPr>
        <w:t xml:space="preserve">Ethics approval </w:t>
      </w:r>
    </w:p>
    <w:p w14:paraId="69240455" w14:textId="65F46EA5" w:rsidR="00225A9D" w:rsidRPr="002962A1" w:rsidRDefault="00225A9D" w:rsidP="007719C5">
      <w:pPr>
        <w:spacing w:line="480" w:lineRule="auto"/>
        <w:rPr>
          <w:bCs/>
          <w:sz w:val="22"/>
          <w:szCs w:val="22"/>
        </w:rPr>
      </w:pPr>
      <w:r w:rsidRPr="00225A9D">
        <w:rPr>
          <w:rFonts w:hint="eastAsia"/>
          <w:bCs/>
          <w:sz w:val="22"/>
          <w:szCs w:val="22"/>
        </w:rPr>
        <w:t>Th</w:t>
      </w:r>
      <w:r w:rsidR="00CD15CB">
        <w:rPr>
          <w:rFonts w:hint="eastAsia"/>
          <w:bCs/>
          <w:sz w:val="22"/>
          <w:szCs w:val="22"/>
        </w:rPr>
        <w:t>is</w:t>
      </w:r>
      <w:r>
        <w:rPr>
          <w:bCs/>
          <w:sz w:val="22"/>
          <w:szCs w:val="22"/>
        </w:rPr>
        <w:t xml:space="preserve"> study was re</w:t>
      </w:r>
      <w:r w:rsidR="002962A1">
        <w:rPr>
          <w:bCs/>
          <w:sz w:val="22"/>
          <w:szCs w:val="22"/>
        </w:rPr>
        <w:t xml:space="preserve">viewed and approved by the ethics review board at the Zhejiang Provincial Center for Disease Control Prevention. Informed consent was not required because this study relied on existing public health records other than on direct patient contact, and all personal identifiers were removed from the database before analyses. </w:t>
      </w:r>
    </w:p>
    <w:p w14:paraId="61EF7E54" w14:textId="77777777" w:rsidR="00225A9D" w:rsidRDefault="00225A9D" w:rsidP="007719C5">
      <w:pPr>
        <w:spacing w:line="480" w:lineRule="auto"/>
        <w:rPr>
          <w:b/>
          <w:bCs/>
          <w:sz w:val="22"/>
          <w:szCs w:val="22"/>
        </w:rPr>
      </w:pPr>
    </w:p>
    <w:p w14:paraId="4403B4E2" w14:textId="1D049BB2" w:rsidR="002B6C61" w:rsidRDefault="00CF197F" w:rsidP="007719C5">
      <w:pPr>
        <w:spacing w:line="480" w:lineRule="auto"/>
        <w:rPr>
          <w:b/>
          <w:bCs/>
          <w:sz w:val="22"/>
          <w:szCs w:val="22"/>
        </w:rPr>
      </w:pPr>
      <w:r>
        <w:rPr>
          <w:b/>
          <w:bCs/>
          <w:sz w:val="22"/>
          <w:szCs w:val="22"/>
        </w:rPr>
        <w:t>Results</w:t>
      </w:r>
    </w:p>
    <w:p w14:paraId="1DAB8E82" w14:textId="1986617E" w:rsidR="00C061FA" w:rsidRDefault="008215C6" w:rsidP="007719C5">
      <w:pPr>
        <w:spacing w:line="480" w:lineRule="auto"/>
        <w:rPr>
          <w:bCs/>
          <w:sz w:val="22"/>
          <w:szCs w:val="22"/>
        </w:rPr>
      </w:pPr>
      <w:r>
        <w:rPr>
          <w:bCs/>
          <w:sz w:val="22"/>
          <w:szCs w:val="22"/>
        </w:rPr>
        <w:t xml:space="preserve">After excluding 443 (15.4%) migrant patients and 10 (0.35%) local patients who </w:t>
      </w:r>
      <w:r w:rsidR="00732AA7">
        <w:rPr>
          <w:bCs/>
          <w:sz w:val="22"/>
          <w:szCs w:val="22"/>
        </w:rPr>
        <w:t>did not have</w:t>
      </w:r>
      <w:r>
        <w:rPr>
          <w:bCs/>
          <w:sz w:val="22"/>
          <w:szCs w:val="22"/>
        </w:rPr>
        <w:t xml:space="preserve"> complete residential information</w:t>
      </w:r>
      <w:r w:rsidR="003940B2">
        <w:rPr>
          <w:bCs/>
          <w:sz w:val="22"/>
          <w:szCs w:val="22"/>
        </w:rPr>
        <w:t xml:space="preserve"> or</w:t>
      </w:r>
      <w:r>
        <w:rPr>
          <w:bCs/>
          <w:sz w:val="22"/>
          <w:szCs w:val="22"/>
        </w:rPr>
        <w:t xml:space="preserve"> no air pollution or NDVI data, we included </w:t>
      </w:r>
      <w:r w:rsidR="001E3903">
        <w:rPr>
          <w:bCs/>
          <w:sz w:val="22"/>
          <w:szCs w:val="22"/>
        </w:rPr>
        <w:t>2,305 MDR-TB cases with 2,095 from Zhejiang</w:t>
      </w:r>
      <w:r w:rsidR="00381074">
        <w:rPr>
          <w:bCs/>
          <w:sz w:val="22"/>
          <w:szCs w:val="22"/>
        </w:rPr>
        <w:t xml:space="preserve"> and 210 from Ningxia</w:t>
      </w:r>
      <w:r w:rsidR="001E3903">
        <w:rPr>
          <w:bCs/>
          <w:sz w:val="22"/>
          <w:szCs w:val="22"/>
        </w:rPr>
        <w:t xml:space="preserve"> in the study. </w:t>
      </w:r>
      <w:r>
        <w:rPr>
          <w:bCs/>
          <w:sz w:val="22"/>
          <w:szCs w:val="22"/>
        </w:rPr>
        <w:t xml:space="preserve">All patients were </w:t>
      </w:r>
      <w:r w:rsidR="001E3903">
        <w:rPr>
          <w:bCs/>
          <w:sz w:val="22"/>
          <w:szCs w:val="22"/>
        </w:rPr>
        <w:t>reported between 2009 and 2017, and followed to December 31</w:t>
      </w:r>
      <w:r w:rsidR="001E3903" w:rsidRPr="00E14BD7">
        <w:rPr>
          <w:bCs/>
          <w:sz w:val="22"/>
          <w:szCs w:val="22"/>
          <w:vertAlign w:val="superscript"/>
        </w:rPr>
        <w:t>st</w:t>
      </w:r>
      <w:r w:rsidR="00DE7775">
        <w:rPr>
          <w:bCs/>
          <w:sz w:val="22"/>
          <w:szCs w:val="22"/>
        </w:rPr>
        <w:t>, 2019</w:t>
      </w:r>
      <w:r w:rsidR="001E3903">
        <w:rPr>
          <w:bCs/>
          <w:sz w:val="22"/>
          <w:szCs w:val="22"/>
        </w:rPr>
        <w:t>, with an average follow-up of 1,724 days per patient.</w:t>
      </w:r>
      <w:r w:rsidR="00021BF6">
        <w:rPr>
          <w:bCs/>
          <w:sz w:val="22"/>
          <w:szCs w:val="22"/>
        </w:rPr>
        <w:t xml:space="preserve"> Among the patients, there were 525 deaths during the period of follow-up. </w:t>
      </w:r>
      <w:r w:rsidR="001E3903">
        <w:rPr>
          <w:bCs/>
          <w:sz w:val="22"/>
          <w:szCs w:val="22"/>
        </w:rPr>
        <w:t xml:space="preserve">  </w:t>
      </w:r>
    </w:p>
    <w:p w14:paraId="453610A3" w14:textId="77777777" w:rsidR="001E3903" w:rsidRPr="00C061FA" w:rsidRDefault="001E3903" w:rsidP="007719C5">
      <w:pPr>
        <w:spacing w:line="480" w:lineRule="auto"/>
        <w:rPr>
          <w:bCs/>
          <w:sz w:val="22"/>
          <w:szCs w:val="22"/>
        </w:rPr>
      </w:pPr>
    </w:p>
    <w:p w14:paraId="36924429" w14:textId="6ED0393A" w:rsidR="002962A1" w:rsidRPr="00C65520" w:rsidRDefault="00C65520" w:rsidP="007719C5">
      <w:pPr>
        <w:spacing w:line="480" w:lineRule="auto"/>
        <w:rPr>
          <w:b/>
          <w:bCs/>
          <w:i/>
          <w:sz w:val="22"/>
          <w:szCs w:val="22"/>
        </w:rPr>
      </w:pPr>
      <w:r w:rsidRPr="00C65520">
        <w:rPr>
          <w:b/>
          <w:bCs/>
          <w:i/>
          <w:sz w:val="22"/>
          <w:szCs w:val="22"/>
        </w:rPr>
        <w:t>Descriptive statistics</w:t>
      </w:r>
    </w:p>
    <w:p w14:paraId="55C5E2D3" w14:textId="14631E0B" w:rsidR="00E15BEC" w:rsidRDefault="00BB653F" w:rsidP="007719C5">
      <w:pPr>
        <w:spacing w:line="480" w:lineRule="auto"/>
        <w:rPr>
          <w:bCs/>
          <w:sz w:val="22"/>
          <w:szCs w:val="22"/>
        </w:rPr>
      </w:pPr>
      <w:r>
        <w:rPr>
          <w:bCs/>
          <w:sz w:val="22"/>
          <w:szCs w:val="22"/>
        </w:rPr>
        <w:t xml:space="preserve">Of 2,305 cases, 1,674 </w:t>
      </w:r>
      <w:r w:rsidR="00C752E8">
        <w:rPr>
          <w:bCs/>
          <w:sz w:val="22"/>
          <w:szCs w:val="22"/>
        </w:rPr>
        <w:t xml:space="preserve">(72.6%) </w:t>
      </w:r>
      <w:r>
        <w:rPr>
          <w:bCs/>
          <w:sz w:val="22"/>
          <w:szCs w:val="22"/>
        </w:rPr>
        <w:t xml:space="preserve">were male, </w:t>
      </w:r>
      <w:r w:rsidR="00134ADE">
        <w:rPr>
          <w:bCs/>
          <w:sz w:val="22"/>
          <w:szCs w:val="22"/>
        </w:rPr>
        <w:t xml:space="preserve">62 (2.69%) were ethnic minority, </w:t>
      </w:r>
      <w:r>
        <w:rPr>
          <w:bCs/>
          <w:sz w:val="22"/>
          <w:szCs w:val="22"/>
        </w:rPr>
        <w:t>64</w:t>
      </w:r>
      <w:r w:rsidR="00CC483B">
        <w:rPr>
          <w:bCs/>
          <w:sz w:val="22"/>
          <w:szCs w:val="22"/>
        </w:rPr>
        <w:t>1</w:t>
      </w:r>
      <w:r>
        <w:rPr>
          <w:bCs/>
          <w:sz w:val="22"/>
          <w:szCs w:val="22"/>
        </w:rPr>
        <w:t xml:space="preserve"> </w:t>
      </w:r>
      <w:r w:rsidR="00C752E8">
        <w:rPr>
          <w:bCs/>
          <w:sz w:val="22"/>
          <w:szCs w:val="22"/>
        </w:rPr>
        <w:t xml:space="preserve">(27.8%) </w:t>
      </w:r>
      <w:r>
        <w:rPr>
          <w:bCs/>
          <w:sz w:val="22"/>
          <w:szCs w:val="22"/>
        </w:rPr>
        <w:t>were 60 years and older at diagnosis, and 37 (1.61%) were XDR</w:t>
      </w:r>
      <w:r w:rsidR="000E334F">
        <w:rPr>
          <w:bCs/>
          <w:sz w:val="22"/>
          <w:szCs w:val="22"/>
        </w:rPr>
        <w:t>-</w:t>
      </w:r>
      <w:r>
        <w:rPr>
          <w:bCs/>
          <w:sz w:val="22"/>
          <w:szCs w:val="22"/>
        </w:rPr>
        <w:t xml:space="preserve">TB. </w:t>
      </w:r>
      <w:r w:rsidR="008215C6">
        <w:rPr>
          <w:bCs/>
          <w:sz w:val="22"/>
          <w:szCs w:val="22"/>
        </w:rPr>
        <w:t xml:space="preserve">Prior to MDR-TB diagnosis, 1,535 (66.6%) had no received any TB treatment indicating primary resistance, while 770 (33.4%) were treated indicating acquired resistance. Of all patients, 1,716 (74.4%) received MDR-TB treatment, while 589 (25.6%) did not take the treatment (Table 1). </w:t>
      </w:r>
      <w:r w:rsidR="006377BF">
        <w:rPr>
          <w:bCs/>
          <w:sz w:val="22"/>
          <w:szCs w:val="22"/>
        </w:rPr>
        <w:t>A higher proportion of MDR-TB patients live</w:t>
      </w:r>
      <w:r w:rsidR="00236E09">
        <w:rPr>
          <w:bCs/>
          <w:sz w:val="22"/>
          <w:szCs w:val="22"/>
        </w:rPr>
        <w:t>d</w:t>
      </w:r>
      <w:r w:rsidR="006377BF">
        <w:rPr>
          <w:bCs/>
          <w:sz w:val="22"/>
          <w:szCs w:val="22"/>
        </w:rPr>
        <w:t xml:space="preserve"> in rural </w:t>
      </w:r>
      <w:r w:rsidR="00236E09">
        <w:rPr>
          <w:bCs/>
          <w:sz w:val="22"/>
          <w:szCs w:val="22"/>
        </w:rPr>
        <w:t>(74.2%), low altitude (</w:t>
      </w:r>
      <w:r w:rsidR="00236E09">
        <w:rPr>
          <w:rFonts w:hint="eastAsia"/>
          <w:bCs/>
          <w:sz w:val="22"/>
          <w:szCs w:val="22"/>
        </w:rPr>
        <w:t>≤</w:t>
      </w:r>
      <w:r w:rsidR="00236E09">
        <w:rPr>
          <w:bCs/>
          <w:sz w:val="22"/>
          <w:szCs w:val="22"/>
        </w:rPr>
        <w:t>200m, 81%) areas. Approximate</w:t>
      </w:r>
      <w:r w:rsidR="00134ADE">
        <w:rPr>
          <w:bCs/>
          <w:sz w:val="22"/>
          <w:szCs w:val="22"/>
        </w:rPr>
        <w:t>ly</w:t>
      </w:r>
      <w:r w:rsidR="00236E09">
        <w:rPr>
          <w:bCs/>
          <w:sz w:val="22"/>
          <w:szCs w:val="22"/>
        </w:rPr>
        <w:t xml:space="preserve"> 20% patients worked indoors</w:t>
      </w:r>
      <w:r w:rsidR="00042268">
        <w:rPr>
          <w:bCs/>
          <w:sz w:val="22"/>
          <w:szCs w:val="22"/>
        </w:rPr>
        <w:t xml:space="preserve">, while </w:t>
      </w:r>
      <w:r w:rsidR="00236E09">
        <w:rPr>
          <w:bCs/>
          <w:sz w:val="22"/>
          <w:szCs w:val="22"/>
        </w:rPr>
        <w:t xml:space="preserve">12% </w:t>
      </w:r>
      <w:r w:rsidR="00042268">
        <w:rPr>
          <w:bCs/>
          <w:sz w:val="22"/>
          <w:szCs w:val="22"/>
        </w:rPr>
        <w:t xml:space="preserve">were engaged in </w:t>
      </w:r>
      <w:r w:rsidR="00236E09">
        <w:rPr>
          <w:bCs/>
          <w:sz w:val="22"/>
          <w:szCs w:val="22"/>
        </w:rPr>
        <w:t xml:space="preserve">intelligent-intensive </w:t>
      </w:r>
      <w:r w:rsidR="00042268">
        <w:rPr>
          <w:bCs/>
          <w:sz w:val="22"/>
          <w:szCs w:val="22"/>
        </w:rPr>
        <w:t xml:space="preserve">work. </w:t>
      </w:r>
    </w:p>
    <w:p w14:paraId="398440E5" w14:textId="72302762" w:rsidR="00845944" w:rsidRDefault="00845944" w:rsidP="007719C5">
      <w:pPr>
        <w:spacing w:line="480" w:lineRule="auto"/>
        <w:rPr>
          <w:bCs/>
          <w:sz w:val="22"/>
          <w:szCs w:val="22"/>
        </w:rPr>
      </w:pPr>
    </w:p>
    <w:p w14:paraId="3C63C06E" w14:textId="3A53CC4B" w:rsidR="00845944" w:rsidRPr="00845944" w:rsidRDefault="00845944" w:rsidP="007719C5">
      <w:pPr>
        <w:spacing w:line="480" w:lineRule="auto"/>
        <w:rPr>
          <w:bCs/>
          <w:sz w:val="22"/>
          <w:szCs w:val="22"/>
          <w:lang w:val="en-US"/>
        </w:rPr>
      </w:pPr>
      <w:r>
        <w:rPr>
          <w:bCs/>
          <w:sz w:val="22"/>
          <w:szCs w:val="22"/>
          <w:lang w:val="en-US"/>
        </w:rPr>
        <w:t xml:space="preserve">--- Insert Table 1. --- </w:t>
      </w:r>
    </w:p>
    <w:p w14:paraId="7559C971" w14:textId="77777777" w:rsidR="00E15BEC" w:rsidRDefault="00E15BEC" w:rsidP="007719C5">
      <w:pPr>
        <w:spacing w:line="480" w:lineRule="auto"/>
        <w:rPr>
          <w:b/>
          <w:bCs/>
          <w:sz w:val="22"/>
          <w:szCs w:val="22"/>
        </w:rPr>
      </w:pPr>
    </w:p>
    <w:p w14:paraId="07034BDD" w14:textId="40B5B763" w:rsidR="00C65520" w:rsidRPr="00C65520" w:rsidRDefault="00C65520" w:rsidP="007719C5">
      <w:pPr>
        <w:spacing w:line="480" w:lineRule="auto"/>
        <w:rPr>
          <w:b/>
          <w:bCs/>
          <w:i/>
          <w:sz w:val="22"/>
          <w:szCs w:val="22"/>
        </w:rPr>
      </w:pPr>
      <w:r w:rsidRPr="00C65520">
        <w:rPr>
          <w:b/>
          <w:bCs/>
          <w:i/>
          <w:sz w:val="22"/>
          <w:szCs w:val="22"/>
        </w:rPr>
        <w:t xml:space="preserve">Mean levels of exposures </w:t>
      </w:r>
    </w:p>
    <w:p w14:paraId="376A7A9D" w14:textId="34DF0696" w:rsidR="00C65520" w:rsidRDefault="00042268" w:rsidP="007719C5">
      <w:pPr>
        <w:spacing w:line="480" w:lineRule="auto"/>
        <w:rPr>
          <w:bCs/>
          <w:sz w:val="22"/>
          <w:szCs w:val="22"/>
        </w:rPr>
      </w:pPr>
      <w:r>
        <w:rPr>
          <w:bCs/>
          <w:sz w:val="22"/>
          <w:szCs w:val="22"/>
        </w:rPr>
        <w:t>Table 2.</w:t>
      </w:r>
      <w:r w:rsidR="00D92B02">
        <w:rPr>
          <w:bCs/>
          <w:sz w:val="22"/>
          <w:szCs w:val="22"/>
        </w:rPr>
        <w:t xml:space="preserve"> shows the mean distribution of NDVI, PM</w:t>
      </w:r>
      <w:r w:rsidR="00D92B02" w:rsidRPr="00D92B02">
        <w:rPr>
          <w:bCs/>
          <w:sz w:val="22"/>
          <w:szCs w:val="22"/>
          <w:vertAlign w:val="subscript"/>
        </w:rPr>
        <w:t>2.5</w:t>
      </w:r>
      <w:r w:rsidR="00D92B02">
        <w:rPr>
          <w:bCs/>
          <w:sz w:val="22"/>
          <w:szCs w:val="22"/>
        </w:rPr>
        <w:t>, and O</w:t>
      </w:r>
      <w:r w:rsidR="00D92B02" w:rsidRPr="00D92B02">
        <w:rPr>
          <w:bCs/>
          <w:sz w:val="22"/>
          <w:szCs w:val="22"/>
          <w:vertAlign w:val="subscript"/>
        </w:rPr>
        <w:t>x</w:t>
      </w:r>
      <w:r w:rsidR="00D92B02">
        <w:rPr>
          <w:bCs/>
          <w:sz w:val="22"/>
          <w:szCs w:val="22"/>
        </w:rPr>
        <w:t xml:space="preserve"> </w:t>
      </w:r>
      <w:r w:rsidR="00692A2D">
        <w:rPr>
          <w:bCs/>
          <w:sz w:val="22"/>
          <w:szCs w:val="22"/>
        </w:rPr>
        <w:t xml:space="preserve">associated with individuals in the </w:t>
      </w:r>
      <w:r w:rsidR="00C914BF">
        <w:rPr>
          <w:bCs/>
          <w:sz w:val="22"/>
          <w:szCs w:val="22"/>
        </w:rPr>
        <w:t>full</w:t>
      </w:r>
      <w:r w:rsidR="00692A2D">
        <w:rPr>
          <w:bCs/>
          <w:sz w:val="22"/>
          <w:szCs w:val="22"/>
        </w:rPr>
        <w:t xml:space="preserve"> cohort and across the three </w:t>
      </w:r>
      <w:proofErr w:type="spellStart"/>
      <w:r w:rsidR="00692A2D">
        <w:rPr>
          <w:bCs/>
          <w:sz w:val="22"/>
          <w:szCs w:val="22"/>
        </w:rPr>
        <w:t>t</w:t>
      </w:r>
      <w:r w:rsidR="00732AA7">
        <w:rPr>
          <w:bCs/>
          <w:sz w:val="22"/>
          <w:szCs w:val="22"/>
        </w:rPr>
        <w:t>e</w:t>
      </w:r>
      <w:r w:rsidR="00692A2D">
        <w:rPr>
          <w:bCs/>
          <w:sz w:val="22"/>
          <w:szCs w:val="22"/>
        </w:rPr>
        <w:t>rtiles</w:t>
      </w:r>
      <w:proofErr w:type="spellEnd"/>
      <w:r w:rsidR="00692A2D">
        <w:rPr>
          <w:bCs/>
          <w:sz w:val="22"/>
          <w:szCs w:val="22"/>
        </w:rPr>
        <w:t xml:space="preserve"> of greenness (NDVI, T1: 0.008 to 0.275</w:t>
      </w:r>
      <w:r w:rsidR="00BB1119">
        <w:rPr>
          <w:bCs/>
          <w:sz w:val="22"/>
          <w:szCs w:val="22"/>
        </w:rPr>
        <w:t>,</w:t>
      </w:r>
      <w:r w:rsidR="00692A2D">
        <w:rPr>
          <w:bCs/>
          <w:sz w:val="22"/>
          <w:szCs w:val="22"/>
        </w:rPr>
        <w:t xml:space="preserve"> T2: 0.276 to 0.408</w:t>
      </w:r>
      <w:r w:rsidR="00BB1119">
        <w:rPr>
          <w:bCs/>
          <w:sz w:val="22"/>
          <w:szCs w:val="22"/>
        </w:rPr>
        <w:t>,</w:t>
      </w:r>
      <w:r w:rsidR="00692A2D">
        <w:rPr>
          <w:bCs/>
          <w:sz w:val="22"/>
          <w:szCs w:val="22"/>
        </w:rPr>
        <w:t xml:space="preserve"> T3: 0.409 to 0.850) within 500m buffer of patient’s residence.</w:t>
      </w:r>
      <w:r w:rsidR="00AC1096">
        <w:rPr>
          <w:bCs/>
          <w:sz w:val="22"/>
          <w:szCs w:val="22"/>
        </w:rPr>
        <w:t xml:space="preserve"> There were</w:t>
      </w:r>
      <w:r w:rsidR="00692A2D">
        <w:rPr>
          <w:bCs/>
          <w:sz w:val="22"/>
          <w:szCs w:val="22"/>
        </w:rPr>
        <w:t xml:space="preserve"> </w:t>
      </w:r>
      <w:r w:rsidR="00AC1096">
        <w:rPr>
          <w:bCs/>
          <w:sz w:val="22"/>
          <w:szCs w:val="22"/>
        </w:rPr>
        <w:t xml:space="preserve">692, 691, and 922 patients in the three </w:t>
      </w:r>
      <w:proofErr w:type="spellStart"/>
      <w:r w:rsidR="00AC1096">
        <w:rPr>
          <w:bCs/>
          <w:sz w:val="22"/>
          <w:szCs w:val="22"/>
        </w:rPr>
        <w:t>tertiles</w:t>
      </w:r>
      <w:proofErr w:type="spellEnd"/>
      <w:r w:rsidR="00AC1096">
        <w:rPr>
          <w:bCs/>
          <w:sz w:val="22"/>
          <w:szCs w:val="22"/>
        </w:rPr>
        <w:t xml:space="preserve">, respectively. The mean </w:t>
      </w:r>
      <w:r w:rsidR="000E334F">
        <w:rPr>
          <w:bCs/>
          <w:sz w:val="22"/>
          <w:szCs w:val="22"/>
        </w:rPr>
        <w:t>NDVI</w:t>
      </w:r>
      <w:r w:rsidR="00AC1096">
        <w:rPr>
          <w:bCs/>
          <w:sz w:val="22"/>
          <w:szCs w:val="22"/>
        </w:rPr>
        <w:t xml:space="preserve"> increase</w:t>
      </w:r>
      <w:r w:rsidR="008D2473">
        <w:rPr>
          <w:bCs/>
          <w:sz w:val="22"/>
          <w:szCs w:val="22"/>
        </w:rPr>
        <w:t>s</w:t>
      </w:r>
      <w:r w:rsidR="00AC1096">
        <w:rPr>
          <w:bCs/>
          <w:sz w:val="22"/>
          <w:szCs w:val="22"/>
        </w:rPr>
        <w:t xml:space="preserve"> over the three </w:t>
      </w:r>
      <w:proofErr w:type="spellStart"/>
      <w:r w:rsidR="00AC1096">
        <w:rPr>
          <w:bCs/>
          <w:sz w:val="22"/>
          <w:szCs w:val="22"/>
        </w:rPr>
        <w:t>tertiles</w:t>
      </w:r>
      <w:proofErr w:type="spellEnd"/>
      <w:r w:rsidR="00AC1096">
        <w:rPr>
          <w:bCs/>
          <w:sz w:val="22"/>
          <w:szCs w:val="22"/>
        </w:rPr>
        <w:t xml:space="preserve"> (NDVI: T1: 0.22, T2, 0.33, T3: 0.55), whereas the</w:t>
      </w:r>
      <w:r w:rsidR="00205CC8">
        <w:rPr>
          <w:bCs/>
          <w:sz w:val="22"/>
          <w:szCs w:val="22"/>
        </w:rPr>
        <w:t xml:space="preserve"> mean of</w:t>
      </w:r>
      <w:r w:rsidR="00AC1096">
        <w:rPr>
          <w:bCs/>
          <w:sz w:val="22"/>
          <w:szCs w:val="22"/>
        </w:rPr>
        <w:t xml:space="preserve"> PM</w:t>
      </w:r>
      <w:r w:rsidR="00AC1096" w:rsidRPr="00CB3270">
        <w:rPr>
          <w:bCs/>
          <w:sz w:val="22"/>
          <w:szCs w:val="22"/>
          <w:vertAlign w:val="subscript"/>
        </w:rPr>
        <w:t>2.5</w:t>
      </w:r>
      <w:r w:rsidR="00AC1096">
        <w:rPr>
          <w:bCs/>
          <w:sz w:val="22"/>
          <w:szCs w:val="22"/>
        </w:rPr>
        <w:t xml:space="preserve"> and O</w:t>
      </w:r>
      <w:r w:rsidR="00AC1096" w:rsidRPr="00641623">
        <w:rPr>
          <w:bCs/>
          <w:sz w:val="22"/>
          <w:szCs w:val="22"/>
          <w:vertAlign w:val="subscript"/>
        </w:rPr>
        <w:t>x</w:t>
      </w:r>
      <w:r w:rsidR="00AC1096">
        <w:rPr>
          <w:bCs/>
          <w:sz w:val="22"/>
          <w:szCs w:val="22"/>
        </w:rPr>
        <w:t xml:space="preserve"> decline</w:t>
      </w:r>
      <w:r w:rsidR="00205CC8">
        <w:rPr>
          <w:bCs/>
          <w:sz w:val="22"/>
          <w:szCs w:val="22"/>
        </w:rPr>
        <w:t>s</w:t>
      </w:r>
      <w:r w:rsidR="00AC1096">
        <w:rPr>
          <w:bCs/>
          <w:sz w:val="22"/>
          <w:szCs w:val="22"/>
        </w:rPr>
        <w:t xml:space="preserve"> (PM</w:t>
      </w:r>
      <w:r w:rsidR="00AC1096" w:rsidRPr="00641623">
        <w:rPr>
          <w:bCs/>
          <w:sz w:val="22"/>
          <w:szCs w:val="22"/>
          <w:vertAlign w:val="subscript"/>
        </w:rPr>
        <w:t>2.5</w:t>
      </w:r>
      <w:r w:rsidR="00AC1096">
        <w:rPr>
          <w:bCs/>
          <w:sz w:val="22"/>
          <w:szCs w:val="22"/>
        </w:rPr>
        <w:t>, T1: 48.4</w:t>
      </w:r>
      <w:r w:rsidR="00205CC8">
        <w:rPr>
          <w:bCs/>
          <w:sz w:val="22"/>
          <w:szCs w:val="22"/>
        </w:rPr>
        <w:t xml:space="preserve"> </w:t>
      </w:r>
      <w:r w:rsidR="00AC1096">
        <w:rPr>
          <w:bCs/>
          <w:sz w:val="22"/>
          <w:szCs w:val="22"/>
        </w:rPr>
        <w:sym w:font="Symbol" w:char="F06D"/>
      </w:r>
      <w:r w:rsidR="00AC1096">
        <w:rPr>
          <w:bCs/>
          <w:sz w:val="22"/>
          <w:szCs w:val="22"/>
        </w:rPr>
        <w:t>g/m</w:t>
      </w:r>
      <w:r w:rsidR="00AC1096" w:rsidRPr="00641623">
        <w:rPr>
          <w:bCs/>
          <w:sz w:val="22"/>
          <w:szCs w:val="22"/>
          <w:vertAlign w:val="superscript"/>
        </w:rPr>
        <w:t>3</w:t>
      </w:r>
      <w:r w:rsidR="00AC1096">
        <w:rPr>
          <w:bCs/>
          <w:sz w:val="22"/>
          <w:szCs w:val="22"/>
        </w:rPr>
        <w:t xml:space="preserve">, T2: 45.4 </w:t>
      </w:r>
      <w:r w:rsidR="00AC1096">
        <w:rPr>
          <w:bCs/>
          <w:sz w:val="22"/>
          <w:szCs w:val="22"/>
        </w:rPr>
        <w:sym w:font="Symbol" w:char="F06D"/>
      </w:r>
      <w:r w:rsidR="00AC1096">
        <w:rPr>
          <w:bCs/>
          <w:sz w:val="22"/>
          <w:szCs w:val="22"/>
        </w:rPr>
        <w:t>g/m</w:t>
      </w:r>
      <w:r w:rsidR="00AC1096" w:rsidRPr="00641623">
        <w:rPr>
          <w:bCs/>
          <w:sz w:val="22"/>
          <w:szCs w:val="22"/>
          <w:vertAlign w:val="superscript"/>
        </w:rPr>
        <w:t>3</w:t>
      </w:r>
      <w:r w:rsidR="00AC1096">
        <w:rPr>
          <w:bCs/>
          <w:sz w:val="22"/>
          <w:szCs w:val="22"/>
        </w:rPr>
        <w:t>, T3: 41.2</w:t>
      </w:r>
      <w:r w:rsidR="00AC1096">
        <w:rPr>
          <w:bCs/>
          <w:sz w:val="22"/>
          <w:szCs w:val="22"/>
        </w:rPr>
        <w:sym w:font="Symbol" w:char="F06D"/>
      </w:r>
      <w:r w:rsidR="00AC1096">
        <w:rPr>
          <w:bCs/>
          <w:sz w:val="22"/>
          <w:szCs w:val="22"/>
        </w:rPr>
        <w:t>g/m</w:t>
      </w:r>
      <w:r w:rsidR="00AC1096" w:rsidRPr="00641623">
        <w:rPr>
          <w:bCs/>
          <w:sz w:val="22"/>
          <w:szCs w:val="22"/>
          <w:vertAlign w:val="superscript"/>
        </w:rPr>
        <w:t>3</w:t>
      </w:r>
      <w:r w:rsidR="00AC1096">
        <w:rPr>
          <w:bCs/>
          <w:sz w:val="22"/>
          <w:szCs w:val="22"/>
        </w:rPr>
        <w:t>; O</w:t>
      </w:r>
      <w:r w:rsidR="00AC1096" w:rsidRPr="00641623">
        <w:rPr>
          <w:bCs/>
          <w:sz w:val="22"/>
          <w:szCs w:val="22"/>
          <w:vertAlign w:val="subscript"/>
        </w:rPr>
        <w:t>x</w:t>
      </w:r>
      <w:r w:rsidR="00AC1096">
        <w:rPr>
          <w:bCs/>
          <w:sz w:val="22"/>
          <w:szCs w:val="22"/>
        </w:rPr>
        <w:t xml:space="preserve">: </w:t>
      </w:r>
      <w:r w:rsidR="00AC1096">
        <w:rPr>
          <w:rFonts w:hint="eastAsia"/>
          <w:bCs/>
          <w:sz w:val="22"/>
          <w:szCs w:val="22"/>
        </w:rPr>
        <w:t>T</w:t>
      </w:r>
      <w:r w:rsidR="00AC1096">
        <w:rPr>
          <w:bCs/>
          <w:sz w:val="22"/>
          <w:szCs w:val="22"/>
        </w:rPr>
        <w:t xml:space="preserve">1: 78.3 </w:t>
      </w:r>
      <w:r w:rsidR="00205CC8">
        <w:rPr>
          <w:bCs/>
          <w:sz w:val="22"/>
          <w:szCs w:val="22"/>
        </w:rPr>
        <w:sym w:font="Symbol" w:char="F06D"/>
      </w:r>
      <w:r w:rsidR="00205CC8">
        <w:rPr>
          <w:bCs/>
          <w:sz w:val="22"/>
          <w:szCs w:val="22"/>
        </w:rPr>
        <w:t>g/m</w:t>
      </w:r>
      <w:r w:rsidR="00205CC8" w:rsidRPr="00641623">
        <w:rPr>
          <w:bCs/>
          <w:sz w:val="22"/>
          <w:szCs w:val="22"/>
          <w:vertAlign w:val="superscript"/>
        </w:rPr>
        <w:t>3</w:t>
      </w:r>
      <w:r w:rsidR="00AC1096">
        <w:rPr>
          <w:bCs/>
          <w:sz w:val="22"/>
          <w:szCs w:val="22"/>
        </w:rPr>
        <w:t xml:space="preserve">, T2: 77.4 </w:t>
      </w:r>
      <w:r w:rsidR="00205CC8">
        <w:rPr>
          <w:bCs/>
          <w:sz w:val="22"/>
          <w:szCs w:val="22"/>
        </w:rPr>
        <w:sym w:font="Symbol" w:char="F06D"/>
      </w:r>
      <w:r w:rsidR="00205CC8">
        <w:rPr>
          <w:bCs/>
          <w:sz w:val="22"/>
          <w:szCs w:val="22"/>
        </w:rPr>
        <w:t>g/m</w:t>
      </w:r>
      <w:r w:rsidR="00205CC8" w:rsidRPr="00641623">
        <w:rPr>
          <w:bCs/>
          <w:sz w:val="22"/>
          <w:szCs w:val="22"/>
          <w:vertAlign w:val="superscript"/>
        </w:rPr>
        <w:t>3</w:t>
      </w:r>
      <w:r w:rsidR="00AC1096">
        <w:rPr>
          <w:bCs/>
          <w:sz w:val="22"/>
          <w:szCs w:val="22"/>
        </w:rPr>
        <w:t xml:space="preserve">, T3: 75.1 </w:t>
      </w:r>
      <w:r w:rsidR="00205CC8">
        <w:rPr>
          <w:bCs/>
          <w:sz w:val="22"/>
          <w:szCs w:val="22"/>
        </w:rPr>
        <w:sym w:font="Symbol" w:char="F06D"/>
      </w:r>
      <w:r w:rsidR="00205CC8">
        <w:rPr>
          <w:bCs/>
          <w:sz w:val="22"/>
          <w:szCs w:val="22"/>
        </w:rPr>
        <w:t>g/m</w:t>
      </w:r>
      <w:r w:rsidR="00205CC8" w:rsidRPr="00641623">
        <w:rPr>
          <w:bCs/>
          <w:sz w:val="22"/>
          <w:szCs w:val="22"/>
          <w:vertAlign w:val="superscript"/>
        </w:rPr>
        <w:t>3</w:t>
      </w:r>
      <w:r w:rsidR="00AC1096">
        <w:rPr>
          <w:bCs/>
          <w:sz w:val="22"/>
          <w:szCs w:val="22"/>
        </w:rPr>
        <w:t xml:space="preserve">). </w:t>
      </w:r>
      <w:r w:rsidR="008D2473">
        <w:rPr>
          <w:bCs/>
          <w:sz w:val="22"/>
          <w:szCs w:val="22"/>
        </w:rPr>
        <w:t xml:space="preserve">NDVI is moderately negatively associated with </w:t>
      </w:r>
      <w:r w:rsidR="008D2473">
        <w:rPr>
          <w:bCs/>
          <w:sz w:val="22"/>
          <w:szCs w:val="22"/>
        </w:rPr>
        <w:lastRenderedPageBreak/>
        <w:t>PM</w:t>
      </w:r>
      <w:r w:rsidR="008D2473" w:rsidRPr="008D2473">
        <w:rPr>
          <w:bCs/>
          <w:sz w:val="22"/>
          <w:szCs w:val="22"/>
          <w:vertAlign w:val="subscript"/>
        </w:rPr>
        <w:t>2.5</w:t>
      </w:r>
      <w:r w:rsidR="008D2473">
        <w:rPr>
          <w:bCs/>
          <w:sz w:val="22"/>
          <w:szCs w:val="22"/>
        </w:rPr>
        <w:t xml:space="preserve"> </w:t>
      </w:r>
      <w:r w:rsidR="00474039">
        <w:rPr>
          <w:bCs/>
          <w:sz w:val="22"/>
          <w:szCs w:val="22"/>
        </w:rPr>
        <w:t>(</w:t>
      </w:r>
      <w:r w:rsidR="00474039" w:rsidRPr="00474039">
        <w:rPr>
          <w:bCs/>
          <w:i/>
          <w:sz w:val="22"/>
          <w:szCs w:val="22"/>
        </w:rPr>
        <w:t>p</w:t>
      </w:r>
      <w:r w:rsidR="00474039">
        <w:rPr>
          <w:bCs/>
          <w:sz w:val="22"/>
          <w:szCs w:val="22"/>
        </w:rPr>
        <w:t xml:space="preserve"> = - 0.34) </w:t>
      </w:r>
      <w:r w:rsidR="008D2473">
        <w:rPr>
          <w:bCs/>
          <w:sz w:val="22"/>
          <w:szCs w:val="22"/>
        </w:rPr>
        <w:t>and O</w:t>
      </w:r>
      <w:r w:rsidR="008D2473" w:rsidRPr="008D2473">
        <w:rPr>
          <w:bCs/>
          <w:sz w:val="22"/>
          <w:szCs w:val="22"/>
          <w:vertAlign w:val="subscript"/>
        </w:rPr>
        <w:t>x</w:t>
      </w:r>
      <w:r w:rsidR="00474039">
        <w:rPr>
          <w:bCs/>
          <w:sz w:val="22"/>
          <w:szCs w:val="22"/>
          <w:vertAlign w:val="subscript"/>
        </w:rPr>
        <w:t xml:space="preserve"> </w:t>
      </w:r>
      <w:r w:rsidR="00474039">
        <w:rPr>
          <w:bCs/>
          <w:sz w:val="22"/>
          <w:szCs w:val="22"/>
        </w:rPr>
        <w:t>(</w:t>
      </w:r>
      <w:r w:rsidR="00474039" w:rsidRPr="00474039">
        <w:rPr>
          <w:bCs/>
          <w:i/>
          <w:sz w:val="22"/>
          <w:szCs w:val="22"/>
        </w:rPr>
        <w:t>p</w:t>
      </w:r>
      <w:r w:rsidR="00474039">
        <w:rPr>
          <w:bCs/>
          <w:sz w:val="22"/>
          <w:szCs w:val="22"/>
        </w:rPr>
        <w:t xml:space="preserve"> = - 0.32)</w:t>
      </w:r>
      <w:r w:rsidR="008D2473">
        <w:rPr>
          <w:bCs/>
          <w:sz w:val="22"/>
          <w:szCs w:val="22"/>
        </w:rPr>
        <w:t>,</w:t>
      </w:r>
      <w:r w:rsidR="00474039">
        <w:rPr>
          <w:bCs/>
          <w:sz w:val="22"/>
          <w:szCs w:val="22"/>
        </w:rPr>
        <w:t xml:space="preserve"> while the correlation between PM</w:t>
      </w:r>
      <w:r w:rsidR="00474039" w:rsidRPr="008D2473">
        <w:rPr>
          <w:bCs/>
          <w:sz w:val="22"/>
          <w:szCs w:val="22"/>
          <w:vertAlign w:val="subscript"/>
        </w:rPr>
        <w:t>2.5</w:t>
      </w:r>
      <w:r w:rsidR="00474039">
        <w:rPr>
          <w:bCs/>
          <w:sz w:val="22"/>
          <w:szCs w:val="22"/>
        </w:rPr>
        <w:t xml:space="preserve"> and O</w:t>
      </w:r>
      <w:r w:rsidR="00474039" w:rsidRPr="008D2473">
        <w:rPr>
          <w:bCs/>
          <w:sz w:val="22"/>
          <w:szCs w:val="22"/>
          <w:vertAlign w:val="subscript"/>
        </w:rPr>
        <w:t>x</w:t>
      </w:r>
      <w:r w:rsidR="00474039">
        <w:rPr>
          <w:bCs/>
          <w:sz w:val="22"/>
          <w:szCs w:val="22"/>
          <w:vertAlign w:val="subscript"/>
        </w:rPr>
        <w:t xml:space="preserve"> </w:t>
      </w:r>
      <w:r w:rsidR="00474039">
        <w:rPr>
          <w:bCs/>
          <w:sz w:val="22"/>
          <w:szCs w:val="22"/>
        </w:rPr>
        <w:t>is positive and relatively stronger (</w:t>
      </w:r>
      <w:r w:rsidR="00474039" w:rsidRPr="00474039">
        <w:rPr>
          <w:bCs/>
          <w:i/>
          <w:sz w:val="22"/>
          <w:szCs w:val="22"/>
        </w:rPr>
        <w:t>p</w:t>
      </w:r>
      <w:r w:rsidR="00474039">
        <w:rPr>
          <w:bCs/>
          <w:sz w:val="22"/>
          <w:szCs w:val="22"/>
        </w:rPr>
        <w:t xml:space="preserve"> = 0.63) during the follow-up</w:t>
      </w:r>
      <w:r w:rsidR="00205CC8">
        <w:rPr>
          <w:bCs/>
          <w:sz w:val="22"/>
          <w:szCs w:val="22"/>
        </w:rPr>
        <w:t xml:space="preserve"> (Figure 2)</w:t>
      </w:r>
      <w:r w:rsidR="00474039">
        <w:rPr>
          <w:bCs/>
          <w:sz w:val="22"/>
          <w:szCs w:val="22"/>
        </w:rPr>
        <w:t xml:space="preserve">. </w:t>
      </w:r>
    </w:p>
    <w:p w14:paraId="31A3A8FE" w14:textId="13F5D011" w:rsidR="003E092D" w:rsidRDefault="003E092D" w:rsidP="007719C5">
      <w:pPr>
        <w:spacing w:line="480" w:lineRule="auto"/>
        <w:rPr>
          <w:bCs/>
          <w:sz w:val="22"/>
          <w:szCs w:val="22"/>
        </w:rPr>
      </w:pPr>
    </w:p>
    <w:p w14:paraId="583BDE90" w14:textId="1E457864" w:rsidR="003E092D" w:rsidRDefault="003E092D" w:rsidP="007719C5">
      <w:pPr>
        <w:spacing w:line="480" w:lineRule="auto"/>
        <w:rPr>
          <w:bCs/>
          <w:sz w:val="22"/>
          <w:szCs w:val="22"/>
        </w:rPr>
      </w:pPr>
      <w:r>
        <w:rPr>
          <w:bCs/>
          <w:sz w:val="22"/>
          <w:szCs w:val="22"/>
        </w:rPr>
        <w:t xml:space="preserve">--- Insert Table 2. --- </w:t>
      </w:r>
    </w:p>
    <w:p w14:paraId="6A2861A7" w14:textId="7E11FD8A" w:rsidR="003E092D" w:rsidRDefault="003E092D" w:rsidP="007719C5">
      <w:pPr>
        <w:spacing w:line="480" w:lineRule="auto"/>
        <w:rPr>
          <w:bCs/>
          <w:sz w:val="22"/>
          <w:szCs w:val="22"/>
        </w:rPr>
      </w:pPr>
    </w:p>
    <w:p w14:paraId="67222A9B" w14:textId="2B7EA82A" w:rsidR="003E092D" w:rsidRDefault="008D44A0" w:rsidP="008D44A0">
      <w:pPr>
        <w:spacing w:line="480" w:lineRule="auto"/>
        <w:jc w:val="center"/>
        <w:rPr>
          <w:bCs/>
          <w:sz w:val="22"/>
          <w:szCs w:val="22"/>
        </w:rPr>
      </w:pPr>
      <w:r>
        <w:rPr>
          <w:bCs/>
          <w:noProof/>
          <w:sz w:val="22"/>
          <w:szCs w:val="22"/>
        </w:rPr>
        <w:drawing>
          <wp:inline distT="0" distB="0" distL="0" distR="0" wp14:anchorId="35062083" wp14:editId="4B605C6D">
            <wp:extent cx="5972432" cy="4708699"/>
            <wp:effectExtent l="0" t="0" r="0" b="3175"/>
            <wp:docPr id="2" name="Picture 2"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histogram&#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83990" cy="4717812"/>
                    </a:xfrm>
                    <a:prstGeom prst="rect">
                      <a:avLst/>
                    </a:prstGeom>
                  </pic:spPr>
                </pic:pic>
              </a:graphicData>
            </a:graphic>
          </wp:inline>
        </w:drawing>
      </w:r>
    </w:p>
    <w:p w14:paraId="1F64470D" w14:textId="7489D7A1" w:rsidR="003E092D" w:rsidRDefault="003E092D" w:rsidP="008D44A0">
      <w:pPr>
        <w:spacing w:line="360" w:lineRule="auto"/>
        <w:rPr>
          <w:bCs/>
          <w:sz w:val="22"/>
          <w:szCs w:val="22"/>
        </w:rPr>
      </w:pPr>
      <w:r>
        <w:rPr>
          <w:bCs/>
          <w:sz w:val="22"/>
          <w:szCs w:val="22"/>
        </w:rPr>
        <w:t xml:space="preserve">Figure 2. </w:t>
      </w:r>
      <w:r w:rsidRPr="00417823">
        <w:rPr>
          <w:bCs/>
          <w:sz w:val="22"/>
          <w:szCs w:val="22"/>
        </w:rPr>
        <w:t>Correlations among exposures variables (NDVI, PM2.5, and Ox) for the 2,305 patients with complete covariates. NDVI = normalized difference vegetation index. PM2.5 = fine particulate matter. Ox = Oxidant capacity (Ox = [(1.07 x NO2) + (2.075 x O3)]/3.145).</w:t>
      </w:r>
    </w:p>
    <w:p w14:paraId="716783B3" w14:textId="77777777" w:rsidR="00C65520" w:rsidRDefault="00C65520" w:rsidP="007719C5">
      <w:pPr>
        <w:spacing w:line="480" w:lineRule="auto"/>
        <w:rPr>
          <w:b/>
          <w:bCs/>
          <w:sz w:val="22"/>
          <w:szCs w:val="22"/>
        </w:rPr>
      </w:pPr>
    </w:p>
    <w:p w14:paraId="593BCB28" w14:textId="7A0A8B4C" w:rsidR="002962A1" w:rsidRPr="00C65520" w:rsidRDefault="00C65520" w:rsidP="007719C5">
      <w:pPr>
        <w:spacing w:line="480" w:lineRule="auto"/>
        <w:rPr>
          <w:b/>
          <w:bCs/>
          <w:i/>
          <w:sz w:val="22"/>
          <w:szCs w:val="22"/>
        </w:rPr>
      </w:pPr>
      <w:r w:rsidRPr="00C65520">
        <w:rPr>
          <w:b/>
          <w:bCs/>
          <w:i/>
          <w:sz w:val="22"/>
          <w:szCs w:val="22"/>
        </w:rPr>
        <w:t>Hazard ratios from Cox regression models</w:t>
      </w:r>
    </w:p>
    <w:p w14:paraId="022AD5BC" w14:textId="19EABD52" w:rsidR="00AD5B9B" w:rsidRDefault="003411D0" w:rsidP="007719C5">
      <w:pPr>
        <w:spacing w:line="480" w:lineRule="auto"/>
        <w:rPr>
          <w:bCs/>
          <w:sz w:val="22"/>
          <w:szCs w:val="22"/>
        </w:rPr>
      </w:pPr>
      <w:r w:rsidRPr="003411D0">
        <w:rPr>
          <w:rFonts w:hint="eastAsia"/>
          <w:bCs/>
          <w:sz w:val="22"/>
          <w:szCs w:val="22"/>
        </w:rPr>
        <w:lastRenderedPageBreak/>
        <w:t>T</w:t>
      </w:r>
      <w:r>
        <w:rPr>
          <w:bCs/>
          <w:sz w:val="22"/>
          <w:szCs w:val="22"/>
        </w:rPr>
        <w:t>able 3 show</w:t>
      </w:r>
      <w:r w:rsidR="002814FD">
        <w:rPr>
          <w:bCs/>
          <w:sz w:val="22"/>
          <w:szCs w:val="22"/>
        </w:rPr>
        <w:t>s</w:t>
      </w:r>
      <w:r>
        <w:rPr>
          <w:bCs/>
          <w:sz w:val="22"/>
          <w:szCs w:val="22"/>
        </w:rPr>
        <w:t xml:space="preserve"> the results of single- and </w:t>
      </w:r>
      <w:r w:rsidR="00C914BF">
        <w:rPr>
          <w:bCs/>
          <w:sz w:val="22"/>
          <w:szCs w:val="22"/>
        </w:rPr>
        <w:t>oxidant-pollutant</w:t>
      </w:r>
      <w:r>
        <w:rPr>
          <w:bCs/>
          <w:sz w:val="22"/>
          <w:szCs w:val="22"/>
        </w:rPr>
        <w:t xml:space="preserve"> </w:t>
      </w:r>
      <w:r w:rsidR="002140CE">
        <w:rPr>
          <w:bCs/>
          <w:sz w:val="22"/>
          <w:szCs w:val="22"/>
        </w:rPr>
        <w:t>adjusted Cox proportional hazards regression models. All regression models were fully adjusted for individual characteristics, treatment, and environmental factors (detailed in the Methods section). Exposure to PM</w:t>
      </w:r>
      <w:r w:rsidR="002140CE" w:rsidRPr="00BF591F">
        <w:rPr>
          <w:bCs/>
          <w:sz w:val="22"/>
          <w:szCs w:val="22"/>
          <w:vertAlign w:val="subscript"/>
        </w:rPr>
        <w:t>2.5</w:t>
      </w:r>
      <w:r w:rsidR="002140CE">
        <w:rPr>
          <w:bCs/>
          <w:sz w:val="22"/>
          <w:szCs w:val="22"/>
        </w:rPr>
        <w:t xml:space="preserve"> w</w:t>
      </w:r>
      <w:r w:rsidR="003C2D58">
        <w:rPr>
          <w:bCs/>
          <w:sz w:val="22"/>
          <w:szCs w:val="22"/>
        </w:rPr>
        <w:t>as</w:t>
      </w:r>
      <w:r w:rsidR="002140CE">
        <w:rPr>
          <w:bCs/>
          <w:sz w:val="22"/>
          <w:szCs w:val="22"/>
        </w:rPr>
        <w:t xml:space="preserve"> </w:t>
      </w:r>
      <w:r w:rsidR="00C914BF">
        <w:rPr>
          <w:bCs/>
          <w:sz w:val="22"/>
          <w:szCs w:val="22"/>
        </w:rPr>
        <w:t xml:space="preserve">significantly </w:t>
      </w:r>
      <w:r w:rsidR="002140CE">
        <w:rPr>
          <w:bCs/>
          <w:sz w:val="22"/>
          <w:szCs w:val="22"/>
        </w:rPr>
        <w:t xml:space="preserve">associated with </w:t>
      </w:r>
      <w:r w:rsidR="00C914BF">
        <w:rPr>
          <w:bCs/>
          <w:sz w:val="22"/>
          <w:szCs w:val="22"/>
        </w:rPr>
        <w:t xml:space="preserve">mortality </w:t>
      </w:r>
      <w:r w:rsidR="0057658E">
        <w:rPr>
          <w:bCs/>
          <w:sz w:val="22"/>
          <w:szCs w:val="22"/>
        </w:rPr>
        <w:t xml:space="preserve">in both single- </w:t>
      </w:r>
      <w:r w:rsidR="00DB23D9">
        <w:rPr>
          <w:bCs/>
          <w:sz w:val="22"/>
          <w:szCs w:val="22"/>
        </w:rPr>
        <w:t xml:space="preserve">(HR: 1.581, 95% CI: 1.567-1.595 per 10 </w:t>
      </w:r>
      <w:r w:rsidR="00DB23D9">
        <w:rPr>
          <w:bCs/>
          <w:sz w:val="22"/>
          <w:szCs w:val="22"/>
        </w:rPr>
        <w:sym w:font="Symbol" w:char="F06D"/>
      </w:r>
      <w:r w:rsidR="00DB23D9">
        <w:rPr>
          <w:bCs/>
          <w:sz w:val="22"/>
          <w:szCs w:val="22"/>
        </w:rPr>
        <w:t>g/m</w:t>
      </w:r>
      <w:r w:rsidR="00DB23D9" w:rsidRPr="0057658E">
        <w:rPr>
          <w:bCs/>
          <w:sz w:val="22"/>
          <w:szCs w:val="22"/>
          <w:vertAlign w:val="superscript"/>
        </w:rPr>
        <w:t>3</w:t>
      </w:r>
      <w:r w:rsidR="00DB23D9">
        <w:rPr>
          <w:bCs/>
          <w:sz w:val="22"/>
          <w:szCs w:val="22"/>
        </w:rPr>
        <w:t xml:space="preserve"> increase in PM</w:t>
      </w:r>
      <w:r w:rsidR="00DB23D9" w:rsidRPr="0057658E">
        <w:rPr>
          <w:bCs/>
          <w:sz w:val="22"/>
          <w:szCs w:val="22"/>
          <w:vertAlign w:val="subscript"/>
        </w:rPr>
        <w:t>2.5</w:t>
      </w:r>
      <w:r w:rsidR="00DB23D9">
        <w:rPr>
          <w:bCs/>
          <w:sz w:val="22"/>
          <w:szCs w:val="22"/>
        </w:rPr>
        <w:t xml:space="preserve">) </w:t>
      </w:r>
      <w:r w:rsidR="0057658E">
        <w:rPr>
          <w:bCs/>
          <w:sz w:val="22"/>
          <w:szCs w:val="22"/>
        </w:rPr>
        <w:t>and oxidant-pollutant models</w:t>
      </w:r>
      <w:r w:rsidR="00DB23D9">
        <w:rPr>
          <w:bCs/>
          <w:sz w:val="22"/>
          <w:szCs w:val="22"/>
        </w:rPr>
        <w:t xml:space="preserve"> (HR: 1.702, 95% CI: 1.680-1.725)</w:t>
      </w:r>
      <w:r w:rsidR="0057658E">
        <w:rPr>
          <w:bCs/>
          <w:sz w:val="22"/>
          <w:szCs w:val="22"/>
        </w:rPr>
        <w:t xml:space="preserve"> </w:t>
      </w:r>
      <w:r w:rsidR="00C914BF">
        <w:rPr>
          <w:bCs/>
          <w:sz w:val="22"/>
          <w:szCs w:val="22"/>
        </w:rPr>
        <w:t xml:space="preserve">for the full cohort. </w:t>
      </w:r>
      <w:r w:rsidR="00BF591F">
        <w:rPr>
          <w:bCs/>
          <w:sz w:val="22"/>
          <w:szCs w:val="22"/>
        </w:rPr>
        <w:t>The</w:t>
      </w:r>
      <w:r w:rsidR="00BF591F">
        <w:rPr>
          <w:rFonts w:hint="eastAsia"/>
          <w:bCs/>
          <w:sz w:val="22"/>
          <w:szCs w:val="22"/>
        </w:rPr>
        <w:t xml:space="preserve"> </w:t>
      </w:r>
      <w:r w:rsidR="00BF591F">
        <w:rPr>
          <w:bCs/>
          <w:sz w:val="22"/>
          <w:szCs w:val="22"/>
        </w:rPr>
        <w:t xml:space="preserve">effect modifications by greenness were </w:t>
      </w:r>
      <w:r w:rsidR="00A416B1">
        <w:rPr>
          <w:bCs/>
          <w:sz w:val="22"/>
          <w:szCs w:val="22"/>
        </w:rPr>
        <w:t xml:space="preserve">slightly </w:t>
      </w:r>
      <w:r w:rsidR="00BF591F">
        <w:rPr>
          <w:bCs/>
          <w:sz w:val="22"/>
          <w:szCs w:val="22"/>
        </w:rPr>
        <w:t xml:space="preserve">stronger </w:t>
      </w:r>
      <w:r w:rsidR="00A416B1">
        <w:rPr>
          <w:bCs/>
          <w:sz w:val="22"/>
          <w:szCs w:val="22"/>
        </w:rPr>
        <w:t xml:space="preserve">for untreated </w:t>
      </w:r>
      <w:r w:rsidR="00DB23D9">
        <w:rPr>
          <w:bCs/>
          <w:sz w:val="22"/>
          <w:szCs w:val="22"/>
        </w:rPr>
        <w:t xml:space="preserve">(HR: 1.498, 95% CI: 1.476-1.521) </w:t>
      </w:r>
      <w:r w:rsidR="006504BE">
        <w:rPr>
          <w:bCs/>
          <w:sz w:val="22"/>
          <w:szCs w:val="22"/>
        </w:rPr>
        <w:t xml:space="preserve">than treated patients </w:t>
      </w:r>
      <w:r w:rsidR="00DB23D9">
        <w:rPr>
          <w:bCs/>
          <w:sz w:val="22"/>
          <w:szCs w:val="22"/>
        </w:rPr>
        <w:t>(</w:t>
      </w:r>
      <w:r w:rsidR="00A416B1">
        <w:rPr>
          <w:bCs/>
          <w:sz w:val="22"/>
          <w:szCs w:val="22"/>
        </w:rPr>
        <w:t>HR: 1.660, 95% CI: 1.620-1.700)</w:t>
      </w:r>
      <w:r w:rsidR="00DB23D9">
        <w:rPr>
          <w:bCs/>
          <w:sz w:val="22"/>
          <w:szCs w:val="22"/>
        </w:rPr>
        <w:t xml:space="preserve">, </w:t>
      </w:r>
      <w:r w:rsidR="00A416B1">
        <w:rPr>
          <w:bCs/>
          <w:sz w:val="22"/>
          <w:szCs w:val="22"/>
        </w:rPr>
        <w:t xml:space="preserve">and for those who obtained MDR-TB through primary resistance </w:t>
      </w:r>
      <w:r w:rsidR="00DB23D9">
        <w:rPr>
          <w:bCs/>
          <w:sz w:val="22"/>
          <w:szCs w:val="22"/>
        </w:rPr>
        <w:t xml:space="preserve">(HR: 1.453, 95% CI: 1.421-1.486) </w:t>
      </w:r>
      <w:r w:rsidR="00A416B1">
        <w:rPr>
          <w:bCs/>
          <w:sz w:val="22"/>
          <w:szCs w:val="22"/>
        </w:rPr>
        <w:t xml:space="preserve">than through acquired resistance </w:t>
      </w:r>
      <w:r w:rsidR="00DB23D9">
        <w:rPr>
          <w:bCs/>
          <w:sz w:val="22"/>
          <w:szCs w:val="22"/>
        </w:rPr>
        <w:t>(</w:t>
      </w:r>
      <w:r w:rsidR="00A416B1">
        <w:rPr>
          <w:bCs/>
          <w:sz w:val="22"/>
          <w:szCs w:val="22"/>
        </w:rPr>
        <w:t>HR: 1.638, 95% CI: 1.623</w:t>
      </w:r>
      <w:r w:rsidR="00296D0B">
        <w:rPr>
          <w:bCs/>
          <w:sz w:val="22"/>
          <w:szCs w:val="22"/>
        </w:rPr>
        <w:t>-</w:t>
      </w:r>
      <w:r w:rsidR="00A416B1">
        <w:rPr>
          <w:bCs/>
          <w:sz w:val="22"/>
          <w:szCs w:val="22"/>
        </w:rPr>
        <w:t xml:space="preserve">1.654) in single-pollutant models. </w:t>
      </w:r>
      <w:r w:rsidR="0057658E">
        <w:rPr>
          <w:bCs/>
          <w:sz w:val="22"/>
          <w:szCs w:val="22"/>
        </w:rPr>
        <w:t>Similar associations were observed adjusting for O</w:t>
      </w:r>
      <w:r w:rsidR="0057658E" w:rsidRPr="0057658E">
        <w:rPr>
          <w:bCs/>
          <w:sz w:val="22"/>
          <w:szCs w:val="22"/>
          <w:vertAlign w:val="subscript"/>
        </w:rPr>
        <w:t>x</w:t>
      </w:r>
      <w:r w:rsidR="0057658E">
        <w:rPr>
          <w:bCs/>
          <w:sz w:val="22"/>
          <w:szCs w:val="22"/>
        </w:rPr>
        <w:t xml:space="preserve"> in oxidant-pollutant models. </w:t>
      </w:r>
      <w:r w:rsidR="007D0839">
        <w:rPr>
          <w:bCs/>
          <w:sz w:val="22"/>
          <w:szCs w:val="22"/>
        </w:rPr>
        <w:t>C</w:t>
      </w:r>
      <w:r w:rsidR="003E3708">
        <w:rPr>
          <w:bCs/>
          <w:sz w:val="22"/>
          <w:szCs w:val="22"/>
        </w:rPr>
        <w:t>onsistent</w:t>
      </w:r>
      <w:r w:rsidR="00F2124D">
        <w:rPr>
          <w:bCs/>
          <w:sz w:val="22"/>
          <w:szCs w:val="22"/>
        </w:rPr>
        <w:t xml:space="preserve"> </w:t>
      </w:r>
      <w:r w:rsidR="00930F78">
        <w:rPr>
          <w:bCs/>
          <w:sz w:val="22"/>
          <w:szCs w:val="22"/>
        </w:rPr>
        <w:t>with</w:t>
      </w:r>
      <w:r w:rsidR="00656921">
        <w:rPr>
          <w:bCs/>
          <w:sz w:val="22"/>
          <w:szCs w:val="22"/>
        </w:rPr>
        <w:t xml:space="preserve"> </w:t>
      </w:r>
      <w:r w:rsidR="00CC44A8">
        <w:rPr>
          <w:bCs/>
          <w:sz w:val="22"/>
          <w:szCs w:val="22"/>
        </w:rPr>
        <w:t>previous studies</w:t>
      </w:r>
      <w:r w:rsidR="00197DB9">
        <w:rPr>
          <w:bCs/>
          <w:sz w:val="22"/>
          <w:szCs w:val="22"/>
        </w:rPr>
        <w:t xml:space="preserve"> </w:t>
      </w:r>
      <w:r w:rsidR="00197DB9">
        <w:rPr>
          <w:bCs/>
          <w:sz w:val="22"/>
          <w:szCs w:val="22"/>
        </w:rPr>
        <w:fldChar w:fldCharType="begin"/>
      </w:r>
      <w:r w:rsidR="001B437E">
        <w:rPr>
          <w:bCs/>
          <w:sz w:val="22"/>
          <w:szCs w:val="22"/>
        </w:rPr>
        <w:instrText xml:space="preserve"> ADDIN ZOTERO_ITEM CSL_CITATION {"citationID":"G5UUgs8c","properties":{"formattedCitation":"[10]","plainCitation":"[10]","noteIndex":0},"citationItems":[{"id":10,"uris":["http://zotero.org/users/4920080/items/66B7HVYV"],"uri":["http://zotero.org/users/4920080/items/66B7HVYV"],"itemData":{"id":10,"type":"article-journal","abstract":"&lt;h2&gt;Summary&lt;/h2&gt;&lt;h3&gt;Background&lt;/h3&gt;&lt;p&gt;Both air pollution and green space have been shown to affect health. We aimed to assess whether greenness protects against air pollution-related mortality.&lt;/p&gt;&lt;h3&gt;Methods&lt;/h3&gt;&lt;p&gt;We used data from the 2008 wave of the Chinese Longitudinal Healthy Longevity Survey. We calculated contemporaneous normalised difference vegetation index (NDVI) in the 500 m radius around each participant's residence. Fine particulate matter (PM&lt;sub&gt;2·5&lt;/sub&gt;) concentration was calculated using 3-year average concentrations in 1 km × 1 km grid resolution. We used Cox proportional hazards models to estimate the effects of NDVI, PM&lt;sub&gt;2·5&lt;/sub&gt;, and their interaction on all-cause mortality, adjusted for a range of covariates.&lt;/p&gt;&lt;h3&gt;Findings&lt;/h3&gt;&lt;p&gt;The cohort contained 12 873 participants, totalling 47 884 person-years. There were 7426 deaths between 2008 and 2014. The mean contemporaneous NDVI was 0·42 (SD 0·21), and the mean 3-year average PM&lt;sub&gt;2·5&lt;/sub&gt; was 49·63 μg/m&lt;sup&gt;3&lt;/sup&gt; (13·72). In the fully adjusted model, the mortality hazard ratio for each 0·1-unit decrease in contemporaneous NDVI was 1·08 (95% CI 1·03–1·13), each 10 μg/m&lt;sup&gt;3&lt;/sup&gt; increase in PM&lt;sub&gt;2·5&lt;/sub&gt; was 1·13 (1·09–1·18), and the interaction term was 1·01 (1·00–1·02) with a p value of 0·027. We observed non-linear associations in our stratified analyses: people living in urban areas were more likely to benefit from greenness, and people living in rural areas were more likely to be harmed by air pollution.&lt;/p&gt;&lt;h3&gt;Interpretation&lt;/h3&gt;&lt;p&gt;Our study showed some indication of a synergistic effect of greenness and air pollution, suggesting that green space planning and air pollution control can jointly improve public health.&lt;/p&gt;&lt;h3&gt;Funding&lt;/h3&gt;&lt;p&gt;Bill &amp; Melinda Gates Foundation, National Institutes of Health, National Key R&amp;D Program of China, National Natural Science Foundation of China.&lt;/p&gt;","container-title":"The Lancet Planetary Health","DOI":"10.1016/S2542-5196(20)30027-9","ISSN":"2542-5196","issue":"3","journalAbbreviation":"The Lancet Planetary Health","language":"English","note":"publisher: Elsevier\nPMID: 32220672","page":"e107-e115","source":"www.thelancet.com","title":"Interaction between residential greenness and air pollution mortality: analysis of the Chinese Longitudinal Healthy Longevity Survey","title-short":"Interaction between residential greenness and air pollution mortality","volume":"4","author":[{"family":"Ji","given":"John S."},{"family":"Zhu","given":"Anna"},{"family":"Lv","given":"Yuebin"},{"family":"Shi","given":"Xiaoming"}],"issued":{"date-parts":[["2020",3,1]]}}}],"schema":"https://github.com/citation-style-language/schema/raw/master/csl-citation.json"} </w:instrText>
      </w:r>
      <w:r w:rsidR="00197DB9">
        <w:rPr>
          <w:bCs/>
          <w:sz w:val="22"/>
          <w:szCs w:val="22"/>
        </w:rPr>
        <w:fldChar w:fldCharType="separate"/>
      </w:r>
      <w:r w:rsidR="001B437E">
        <w:rPr>
          <w:bCs/>
          <w:noProof/>
          <w:sz w:val="22"/>
          <w:szCs w:val="22"/>
        </w:rPr>
        <w:t>[10]</w:t>
      </w:r>
      <w:r w:rsidR="00197DB9">
        <w:rPr>
          <w:bCs/>
          <w:sz w:val="22"/>
          <w:szCs w:val="22"/>
        </w:rPr>
        <w:fldChar w:fldCharType="end"/>
      </w:r>
      <w:r w:rsidR="007D0839">
        <w:rPr>
          <w:bCs/>
          <w:sz w:val="22"/>
          <w:szCs w:val="22"/>
        </w:rPr>
        <w:t xml:space="preserve">, </w:t>
      </w:r>
      <w:r w:rsidR="006D4D35">
        <w:rPr>
          <w:bCs/>
          <w:sz w:val="22"/>
          <w:szCs w:val="22"/>
        </w:rPr>
        <w:t xml:space="preserve">we did not find a monotonic trend in the effect of </w:t>
      </w:r>
      <w:r w:rsidR="00186D04">
        <w:rPr>
          <w:bCs/>
          <w:sz w:val="22"/>
          <w:szCs w:val="22"/>
        </w:rPr>
        <w:t>PM</w:t>
      </w:r>
      <w:r w:rsidR="00186D04" w:rsidRPr="00155244">
        <w:rPr>
          <w:bCs/>
          <w:sz w:val="22"/>
          <w:szCs w:val="22"/>
          <w:vertAlign w:val="subscript"/>
        </w:rPr>
        <w:t>2.5</w:t>
      </w:r>
      <w:r w:rsidR="00186D04">
        <w:rPr>
          <w:bCs/>
          <w:sz w:val="22"/>
          <w:szCs w:val="22"/>
        </w:rPr>
        <w:t xml:space="preserve"> </w:t>
      </w:r>
      <w:r w:rsidR="0064707A">
        <w:rPr>
          <w:bCs/>
          <w:sz w:val="22"/>
          <w:szCs w:val="22"/>
        </w:rPr>
        <w:t>within</w:t>
      </w:r>
      <w:r w:rsidR="00186D04">
        <w:rPr>
          <w:bCs/>
          <w:sz w:val="22"/>
          <w:szCs w:val="22"/>
        </w:rPr>
        <w:t xml:space="preserve"> the</w:t>
      </w:r>
      <w:r w:rsidR="0002242D">
        <w:rPr>
          <w:bCs/>
          <w:sz w:val="22"/>
          <w:szCs w:val="22"/>
        </w:rPr>
        <w:t xml:space="preserve"> </w:t>
      </w:r>
      <w:r w:rsidR="0064707A">
        <w:rPr>
          <w:bCs/>
          <w:sz w:val="22"/>
          <w:szCs w:val="22"/>
        </w:rPr>
        <w:t xml:space="preserve">different </w:t>
      </w:r>
      <w:proofErr w:type="spellStart"/>
      <w:r w:rsidR="0064707A">
        <w:rPr>
          <w:bCs/>
          <w:sz w:val="22"/>
          <w:szCs w:val="22"/>
        </w:rPr>
        <w:t>tertiles</w:t>
      </w:r>
      <w:proofErr w:type="spellEnd"/>
      <w:r w:rsidR="0064707A">
        <w:rPr>
          <w:bCs/>
          <w:sz w:val="22"/>
          <w:szCs w:val="22"/>
        </w:rPr>
        <w:t xml:space="preserve"> of NDVI</w:t>
      </w:r>
      <w:r w:rsidR="007D0839">
        <w:rPr>
          <w:bCs/>
          <w:sz w:val="22"/>
          <w:szCs w:val="22"/>
        </w:rPr>
        <w:t>:</w:t>
      </w:r>
      <w:r w:rsidR="00186D04">
        <w:rPr>
          <w:bCs/>
          <w:sz w:val="22"/>
          <w:szCs w:val="22"/>
        </w:rPr>
        <w:t xml:space="preserve"> </w:t>
      </w:r>
      <w:r w:rsidR="00F2124D">
        <w:rPr>
          <w:bCs/>
          <w:sz w:val="22"/>
          <w:szCs w:val="22"/>
        </w:rPr>
        <w:t>t</w:t>
      </w:r>
      <w:r w:rsidR="00A416B1">
        <w:rPr>
          <w:bCs/>
          <w:sz w:val="22"/>
          <w:szCs w:val="22"/>
        </w:rPr>
        <w:t>he mortality risks were lower</w:t>
      </w:r>
      <w:r w:rsidR="00EA591B">
        <w:rPr>
          <w:bCs/>
          <w:sz w:val="22"/>
          <w:szCs w:val="22"/>
        </w:rPr>
        <w:t>ed</w:t>
      </w:r>
      <w:r w:rsidR="00A416B1">
        <w:rPr>
          <w:bCs/>
          <w:sz w:val="22"/>
          <w:szCs w:val="22"/>
        </w:rPr>
        <w:t xml:space="preserve"> in the greatest </w:t>
      </w:r>
      <w:proofErr w:type="spellStart"/>
      <w:r w:rsidR="00A416B1">
        <w:rPr>
          <w:bCs/>
          <w:sz w:val="22"/>
          <w:szCs w:val="22"/>
        </w:rPr>
        <w:t>tertile</w:t>
      </w:r>
      <w:proofErr w:type="spellEnd"/>
      <w:r w:rsidR="00A416B1">
        <w:rPr>
          <w:bCs/>
          <w:sz w:val="22"/>
          <w:szCs w:val="22"/>
        </w:rPr>
        <w:t xml:space="preserve"> of NDVI </w:t>
      </w:r>
      <w:r w:rsidR="00DB4C2B">
        <w:rPr>
          <w:bCs/>
          <w:sz w:val="22"/>
          <w:szCs w:val="22"/>
        </w:rPr>
        <w:t xml:space="preserve">than those in the other two </w:t>
      </w:r>
      <w:proofErr w:type="spellStart"/>
      <w:r w:rsidR="00DB4C2B">
        <w:rPr>
          <w:bCs/>
          <w:sz w:val="22"/>
          <w:szCs w:val="22"/>
        </w:rPr>
        <w:t>tertiles</w:t>
      </w:r>
      <w:proofErr w:type="spellEnd"/>
      <w:r w:rsidR="00DB4C2B">
        <w:rPr>
          <w:bCs/>
          <w:sz w:val="22"/>
          <w:szCs w:val="22"/>
        </w:rPr>
        <w:t xml:space="preserve"> in </w:t>
      </w:r>
      <w:r w:rsidR="00EA591B">
        <w:rPr>
          <w:bCs/>
          <w:sz w:val="22"/>
          <w:szCs w:val="22"/>
        </w:rPr>
        <w:t>both</w:t>
      </w:r>
      <w:r w:rsidR="00DB4C2B">
        <w:rPr>
          <w:bCs/>
          <w:sz w:val="22"/>
          <w:szCs w:val="22"/>
        </w:rPr>
        <w:t xml:space="preserve"> models for the full cohort and</w:t>
      </w:r>
      <w:r w:rsidR="00EA591B">
        <w:rPr>
          <w:bCs/>
          <w:sz w:val="22"/>
          <w:szCs w:val="22"/>
        </w:rPr>
        <w:t xml:space="preserve"> </w:t>
      </w:r>
      <w:r w:rsidR="00DB4C2B">
        <w:rPr>
          <w:bCs/>
          <w:sz w:val="22"/>
          <w:szCs w:val="22"/>
        </w:rPr>
        <w:t>other</w:t>
      </w:r>
      <w:r w:rsidR="00EA591B">
        <w:rPr>
          <w:bCs/>
          <w:sz w:val="22"/>
          <w:szCs w:val="22"/>
        </w:rPr>
        <w:t xml:space="preserve"> </w:t>
      </w:r>
      <w:r w:rsidR="00DB4C2B">
        <w:rPr>
          <w:bCs/>
          <w:sz w:val="22"/>
          <w:szCs w:val="22"/>
        </w:rPr>
        <w:t xml:space="preserve">groups, except for </w:t>
      </w:r>
      <w:r w:rsidR="00EA591B">
        <w:rPr>
          <w:bCs/>
          <w:sz w:val="22"/>
          <w:szCs w:val="22"/>
        </w:rPr>
        <w:t xml:space="preserve">the </w:t>
      </w:r>
      <w:r w:rsidR="00DB4C2B">
        <w:rPr>
          <w:bCs/>
          <w:sz w:val="22"/>
          <w:szCs w:val="22"/>
        </w:rPr>
        <w:t>treated patient</w:t>
      </w:r>
      <w:r w:rsidR="00EA591B">
        <w:rPr>
          <w:bCs/>
          <w:sz w:val="22"/>
          <w:szCs w:val="22"/>
        </w:rPr>
        <w:t xml:space="preserve"> group</w:t>
      </w:r>
      <w:r w:rsidR="00DB4C2B">
        <w:rPr>
          <w:bCs/>
          <w:sz w:val="22"/>
          <w:szCs w:val="22"/>
        </w:rPr>
        <w:t xml:space="preserve"> in </w:t>
      </w:r>
      <w:r w:rsidR="0057658E">
        <w:rPr>
          <w:bCs/>
          <w:sz w:val="22"/>
          <w:szCs w:val="22"/>
        </w:rPr>
        <w:t>single-pollutant model</w:t>
      </w:r>
      <w:r w:rsidR="00DB4C2B">
        <w:rPr>
          <w:bCs/>
          <w:sz w:val="22"/>
          <w:szCs w:val="22"/>
        </w:rPr>
        <w:t>.</w:t>
      </w:r>
      <w:r w:rsidR="0057658E">
        <w:rPr>
          <w:bCs/>
          <w:sz w:val="22"/>
          <w:szCs w:val="22"/>
        </w:rPr>
        <w:t xml:space="preserve"> </w:t>
      </w:r>
    </w:p>
    <w:p w14:paraId="5D6DB6F9" w14:textId="5A8E8681" w:rsidR="008D44A0" w:rsidRDefault="008D44A0" w:rsidP="007719C5">
      <w:pPr>
        <w:spacing w:line="480" w:lineRule="auto"/>
        <w:rPr>
          <w:bCs/>
          <w:sz w:val="22"/>
          <w:szCs w:val="22"/>
        </w:rPr>
      </w:pPr>
    </w:p>
    <w:p w14:paraId="28CAE878" w14:textId="377C1BBE" w:rsidR="008D44A0" w:rsidRPr="008D44A0" w:rsidRDefault="008D44A0" w:rsidP="008D44A0">
      <w:pPr>
        <w:spacing w:line="480" w:lineRule="auto"/>
        <w:rPr>
          <w:bCs/>
          <w:sz w:val="22"/>
          <w:szCs w:val="22"/>
        </w:rPr>
      </w:pPr>
      <w:r>
        <w:rPr>
          <w:bCs/>
          <w:sz w:val="22"/>
          <w:szCs w:val="22"/>
        </w:rPr>
        <w:t>--- Insert Table 3. ---</w:t>
      </w:r>
    </w:p>
    <w:p w14:paraId="31EAB30D" w14:textId="77777777" w:rsidR="00A12DD8" w:rsidRDefault="00A12DD8" w:rsidP="007719C5">
      <w:pPr>
        <w:spacing w:line="480" w:lineRule="auto"/>
        <w:rPr>
          <w:bCs/>
          <w:sz w:val="22"/>
          <w:szCs w:val="22"/>
        </w:rPr>
      </w:pPr>
    </w:p>
    <w:p w14:paraId="09376F24" w14:textId="491101C7" w:rsidR="008A6E10" w:rsidRDefault="00AD5B9B" w:rsidP="007719C5">
      <w:pPr>
        <w:spacing w:line="480" w:lineRule="auto"/>
        <w:rPr>
          <w:bCs/>
          <w:sz w:val="22"/>
          <w:szCs w:val="22"/>
        </w:rPr>
      </w:pPr>
      <w:r>
        <w:rPr>
          <w:bCs/>
          <w:sz w:val="22"/>
          <w:szCs w:val="22"/>
        </w:rPr>
        <w:t>We repeated the oxidant-pollutant adjusted models to examine the association stratified by</w:t>
      </w:r>
      <w:r w:rsidR="000A69F9">
        <w:rPr>
          <w:bCs/>
          <w:sz w:val="22"/>
          <w:szCs w:val="22"/>
        </w:rPr>
        <w:t xml:space="preserve"> age (</w:t>
      </w:r>
      <w:r w:rsidR="00D316CF">
        <w:rPr>
          <w:rFonts w:hint="eastAsia"/>
          <w:bCs/>
          <w:sz w:val="22"/>
          <w:szCs w:val="22"/>
        </w:rPr>
        <w:t>&lt;</w:t>
      </w:r>
      <w:r w:rsidR="000A69F9">
        <w:rPr>
          <w:rFonts w:hint="eastAsia"/>
          <w:bCs/>
          <w:sz w:val="22"/>
          <w:szCs w:val="22"/>
        </w:rPr>
        <w:t xml:space="preserve"> </w:t>
      </w:r>
      <w:r w:rsidR="000A69F9">
        <w:rPr>
          <w:bCs/>
          <w:sz w:val="22"/>
          <w:szCs w:val="22"/>
        </w:rPr>
        <w:t xml:space="preserve">60 and </w:t>
      </w:r>
      <w:r w:rsidR="00D316CF">
        <w:rPr>
          <w:rFonts w:hint="eastAsia"/>
          <w:bCs/>
          <w:sz w:val="22"/>
          <w:szCs w:val="22"/>
        </w:rPr>
        <w:t>≥</w:t>
      </w:r>
      <w:r w:rsidR="000A69F9">
        <w:rPr>
          <w:bCs/>
          <w:sz w:val="22"/>
          <w:szCs w:val="22"/>
        </w:rPr>
        <w:t xml:space="preserve"> 60 years old), sex</w:t>
      </w:r>
      <w:r w:rsidR="00296D0B">
        <w:rPr>
          <w:bCs/>
          <w:sz w:val="22"/>
          <w:szCs w:val="22"/>
        </w:rPr>
        <w:t xml:space="preserve">, </w:t>
      </w:r>
      <w:r w:rsidR="000A69F9">
        <w:rPr>
          <w:bCs/>
          <w:sz w:val="22"/>
          <w:szCs w:val="22"/>
        </w:rPr>
        <w:t>place of residence (urban and rural)</w:t>
      </w:r>
      <w:r w:rsidR="00296D0B">
        <w:rPr>
          <w:bCs/>
          <w:sz w:val="22"/>
          <w:szCs w:val="22"/>
        </w:rPr>
        <w:t>, and province (Zhejiang and Ningxia)</w:t>
      </w:r>
      <w:r w:rsidR="000A69F9">
        <w:rPr>
          <w:bCs/>
          <w:sz w:val="22"/>
          <w:szCs w:val="22"/>
        </w:rPr>
        <w:t xml:space="preserve">. </w:t>
      </w:r>
      <w:r w:rsidR="002C577C">
        <w:rPr>
          <w:bCs/>
          <w:sz w:val="22"/>
          <w:szCs w:val="22"/>
        </w:rPr>
        <w:t xml:space="preserve">Table 4 showed the </w:t>
      </w:r>
      <w:r w:rsidR="000A69F9">
        <w:rPr>
          <w:bCs/>
          <w:sz w:val="22"/>
          <w:szCs w:val="22"/>
        </w:rPr>
        <w:t xml:space="preserve">stratified </w:t>
      </w:r>
      <w:r w:rsidR="002C577C">
        <w:rPr>
          <w:bCs/>
          <w:sz w:val="22"/>
          <w:szCs w:val="22"/>
        </w:rPr>
        <w:t xml:space="preserve">analysis results, suggesting that </w:t>
      </w:r>
      <w:r w:rsidR="003439AA">
        <w:rPr>
          <w:bCs/>
          <w:sz w:val="22"/>
          <w:szCs w:val="22"/>
        </w:rPr>
        <w:t>e</w:t>
      </w:r>
      <w:r w:rsidR="002814FD">
        <w:rPr>
          <w:bCs/>
          <w:sz w:val="22"/>
          <w:szCs w:val="22"/>
        </w:rPr>
        <w:t>xposure to PM</w:t>
      </w:r>
      <w:r w:rsidR="002814FD" w:rsidRPr="00427529">
        <w:rPr>
          <w:bCs/>
          <w:sz w:val="22"/>
          <w:szCs w:val="22"/>
          <w:vertAlign w:val="subscript"/>
        </w:rPr>
        <w:t>2.5</w:t>
      </w:r>
      <w:r w:rsidR="00403CE5">
        <w:rPr>
          <w:bCs/>
          <w:sz w:val="22"/>
          <w:szCs w:val="22"/>
        </w:rPr>
        <w:t xml:space="preserve"> were</w:t>
      </w:r>
      <w:r w:rsidR="002814FD">
        <w:rPr>
          <w:bCs/>
          <w:sz w:val="22"/>
          <w:szCs w:val="22"/>
        </w:rPr>
        <w:t xml:space="preserve"> </w:t>
      </w:r>
      <w:r w:rsidR="00403CE5">
        <w:rPr>
          <w:bCs/>
          <w:sz w:val="22"/>
          <w:szCs w:val="22"/>
        </w:rPr>
        <w:t>stronger in association</w:t>
      </w:r>
      <w:r w:rsidR="000F0E7F">
        <w:rPr>
          <w:bCs/>
          <w:sz w:val="22"/>
          <w:szCs w:val="22"/>
        </w:rPr>
        <w:t xml:space="preserve"> with mortality for </w:t>
      </w:r>
      <w:r w:rsidR="00D316CF">
        <w:rPr>
          <w:bCs/>
          <w:sz w:val="22"/>
          <w:szCs w:val="22"/>
        </w:rPr>
        <w:t xml:space="preserve">younger </w:t>
      </w:r>
      <w:r w:rsidR="000F0E7F">
        <w:rPr>
          <w:bCs/>
          <w:sz w:val="22"/>
          <w:szCs w:val="22"/>
        </w:rPr>
        <w:t xml:space="preserve">patients </w:t>
      </w:r>
      <w:r w:rsidR="00D316CF">
        <w:rPr>
          <w:bCs/>
          <w:sz w:val="22"/>
          <w:szCs w:val="22"/>
        </w:rPr>
        <w:t>[HR:</w:t>
      </w:r>
      <w:r w:rsidR="000F0E7F">
        <w:rPr>
          <w:bCs/>
          <w:sz w:val="22"/>
          <w:szCs w:val="22"/>
        </w:rPr>
        <w:t xml:space="preserve"> </w:t>
      </w:r>
      <w:r w:rsidR="00D316CF">
        <w:rPr>
          <w:bCs/>
          <w:sz w:val="22"/>
          <w:szCs w:val="22"/>
        </w:rPr>
        <w:t>2.434</w:t>
      </w:r>
      <w:r w:rsidR="000F0E7F">
        <w:rPr>
          <w:bCs/>
          <w:sz w:val="22"/>
          <w:szCs w:val="22"/>
        </w:rPr>
        <w:t xml:space="preserve">, 95% CI: </w:t>
      </w:r>
      <w:r w:rsidR="00D316CF">
        <w:rPr>
          <w:bCs/>
          <w:sz w:val="22"/>
          <w:szCs w:val="22"/>
        </w:rPr>
        <w:t>2.432</w:t>
      </w:r>
      <w:r w:rsidR="000F0E7F">
        <w:rPr>
          <w:bCs/>
          <w:sz w:val="22"/>
          <w:szCs w:val="22"/>
        </w:rPr>
        <w:t>-</w:t>
      </w:r>
      <w:r w:rsidR="00D316CF">
        <w:rPr>
          <w:bCs/>
          <w:sz w:val="22"/>
          <w:szCs w:val="22"/>
        </w:rPr>
        <w:t>2.435 (</w:t>
      </w:r>
      <w:r w:rsidR="00D316CF">
        <w:rPr>
          <w:rFonts w:hint="eastAsia"/>
          <w:bCs/>
          <w:sz w:val="22"/>
          <w:szCs w:val="22"/>
        </w:rPr>
        <w:t xml:space="preserve">&lt; </w:t>
      </w:r>
      <w:r w:rsidR="00D316CF">
        <w:rPr>
          <w:bCs/>
          <w:sz w:val="22"/>
          <w:szCs w:val="22"/>
        </w:rPr>
        <w:t xml:space="preserve">60 </w:t>
      </w:r>
      <w:r w:rsidR="00D316CF">
        <w:rPr>
          <w:rFonts w:hint="eastAsia"/>
          <w:bCs/>
          <w:sz w:val="22"/>
          <w:szCs w:val="22"/>
        </w:rPr>
        <w:t>years</w:t>
      </w:r>
      <w:r w:rsidR="00D316CF">
        <w:rPr>
          <w:bCs/>
          <w:sz w:val="22"/>
          <w:szCs w:val="22"/>
        </w:rPr>
        <w:t xml:space="preserve">) </w:t>
      </w:r>
      <w:r w:rsidR="000F0E7F">
        <w:rPr>
          <w:bCs/>
          <w:sz w:val="22"/>
          <w:szCs w:val="22"/>
        </w:rPr>
        <w:t xml:space="preserve">vs HR: </w:t>
      </w:r>
      <w:r w:rsidR="00D316CF">
        <w:rPr>
          <w:bCs/>
          <w:sz w:val="22"/>
          <w:szCs w:val="22"/>
        </w:rPr>
        <w:t>1.487</w:t>
      </w:r>
      <w:r w:rsidR="000F0E7F">
        <w:rPr>
          <w:bCs/>
          <w:sz w:val="22"/>
          <w:szCs w:val="22"/>
        </w:rPr>
        <w:t xml:space="preserve">, 95% CI: </w:t>
      </w:r>
      <w:r w:rsidR="00D316CF">
        <w:rPr>
          <w:bCs/>
          <w:sz w:val="22"/>
          <w:szCs w:val="22"/>
        </w:rPr>
        <w:t>1.475</w:t>
      </w:r>
      <w:r w:rsidR="000F0E7F">
        <w:rPr>
          <w:bCs/>
          <w:sz w:val="22"/>
          <w:szCs w:val="22"/>
        </w:rPr>
        <w:t>-1.</w:t>
      </w:r>
      <w:r w:rsidR="00D316CF">
        <w:rPr>
          <w:bCs/>
          <w:sz w:val="22"/>
          <w:szCs w:val="22"/>
        </w:rPr>
        <w:t>501 (</w:t>
      </w:r>
      <w:r w:rsidR="00D316CF">
        <w:rPr>
          <w:rFonts w:hint="eastAsia"/>
          <w:bCs/>
          <w:sz w:val="22"/>
          <w:szCs w:val="22"/>
        </w:rPr>
        <w:t>≥</w:t>
      </w:r>
      <w:r w:rsidR="00D316CF">
        <w:rPr>
          <w:bCs/>
          <w:sz w:val="22"/>
          <w:szCs w:val="22"/>
        </w:rPr>
        <w:t xml:space="preserve"> 60 years)]</w:t>
      </w:r>
      <w:r w:rsidR="000F0E7F">
        <w:rPr>
          <w:bCs/>
          <w:sz w:val="22"/>
          <w:szCs w:val="22"/>
        </w:rPr>
        <w:t>,</w:t>
      </w:r>
      <w:r w:rsidR="00335DC6">
        <w:rPr>
          <w:bCs/>
          <w:sz w:val="22"/>
          <w:szCs w:val="22"/>
        </w:rPr>
        <w:t xml:space="preserve"> </w:t>
      </w:r>
      <w:r w:rsidR="00D316CF">
        <w:rPr>
          <w:bCs/>
          <w:sz w:val="22"/>
          <w:szCs w:val="22"/>
        </w:rPr>
        <w:t>female</w:t>
      </w:r>
      <w:r w:rsidR="000F0E7F">
        <w:rPr>
          <w:bCs/>
          <w:sz w:val="22"/>
          <w:szCs w:val="22"/>
        </w:rPr>
        <w:t xml:space="preserve"> </w:t>
      </w:r>
      <w:r w:rsidR="00D316CF">
        <w:rPr>
          <w:bCs/>
          <w:sz w:val="22"/>
          <w:szCs w:val="22"/>
        </w:rPr>
        <w:t>[</w:t>
      </w:r>
      <w:r w:rsidR="000F0E7F">
        <w:rPr>
          <w:bCs/>
          <w:sz w:val="22"/>
          <w:szCs w:val="22"/>
        </w:rPr>
        <w:t xml:space="preserve">HR: </w:t>
      </w:r>
      <w:r w:rsidR="00D316CF">
        <w:rPr>
          <w:bCs/>
          <w:sz w:val="22"/>
          <w:szCs w:val="22"/>
        </w:rPr>
        <w:t>2</w:t>
      </w:r>
      <w:r w:rsidR="00E22748">
        <w:rPr>
          <w:bCs/>
          <w:sz w:val="22"/>
          <w:szCs w:val="22"/>
        </w:rPr>
        <w:t>.209</w:t>
      </w:r>
      <w:r w:rsidR="000F0E7F">
        <w:rPr>
          <w:bCs/>
          <w:sz w:val="22"/>
          <w:szCs w:val="22"/>
        </w:rPr>
        <w:t xml:space="preserve">, 95% CI: </w:t>
      </w:r>
      <w:r w:rsidR="00E22748">
        <w:rPr>
          <w:bCs/>
          <w:sz w:val="22"/>
          <w:szCs w:val="22"/>
        </w:rPr>
        <w:t>1.874</w:t>
      </w:r>
      <w:r w:rsidR="000F0E7F">
        <w:rPr>
          <w:bCs/>
          <w:sz w:val="22"/>
          <w:szCs w:val="22"/>
        </w:rPr>
        <w:t>-</w:t>
      </w:r>
      <w:r w:rsidR="00D316CF">
        <w:rPr>
          <w:bCs/>
          <w:sz w:val="22"/>
          <w:szCs w:val="22"/>
        </w:rPr>
        <w:t>2.</w:t>
      </w:r>
      <w:r w:rsidR="00E22748">
        <w:rPr>
          <w:bCs/>
          <w:sz w:val="22"/>
          <w:szCs w:val="22"/>
        </w:rPr>
        <w:t>845</w:t>
      </w:r>
      <w:r w:rsidR="00D316CF">
        <w:rPr>
          <w:bCs/>
          <w:sz w:val="22"/>
          <w:szCs w:val="22"/>
        </w:rPr>
        <w:t xml:space="preserve"> (female)</w:t>
      </w:r>
      <w:r w:rsidR="000F0E7F">
        <w:rPr>
          <w:bCs/>
          <w:sz w:val="22"/>
          <w:szCs w:val="22"/>
        </w:rPr>
        <w:t xml:space="preserve"> v</w:t>
      </w:r>
      <w:r w:rsidR="00D316CF">
        <w:rPr>
          <w:bCs/>
          <w:sz w:val="22"/>
          <w:szCs w:val="22"/>
        </w:rPr>
        <w:t>s</w:t>
      </w:r>
      <w:r w:rsidR="000F0E7F">
        <w:rPr>
          <w:bCs/>
          <w:sz w:val="22"/>
          <w:szCs w:val="22"/>
        </w:rPr>
        <w:t xml:space="preserve"> HR: 1.</w:t>
      </w:r>
      <w:r w:rsidR="00D316CF">
        <w:rPr>
          <w:bCs/>
          <w:sz w:val="22"/>
          <w:szCs w:val="22"/>
        </w:rPr>
        <w:t>644</w:t>
      </w:r>
      <w:r w:rsidR="000F0E7F">
        <w:rPr>
          <w:bCs/>
          <w:sz w:val="22"/>
          <w:szCs w:val="22"/>
        </w:rPr>
        <w:t>, 95% CI: 1.</w:t>
      </w:r>
      <w:r w:rsidR="00D316CF">
        <w:rPr>
          <w:bCs/>
          <w:sz w:val="22"/>
          <w:szCs w:val="22"/>
        </w:rPr>
        <w:t>611</w:t>
      </w:r>
      <w:r w:rsidR="000F0E7F">
        <w:rPr>
          <w:bCs/>
          <w:sz w:val="22"/>
          <w:szCs w:val="22"/>
        </w:rPr>
        <w:t>-1.</w:t>
      </w:r>
      <w:r w:rsidR="00D316CF">
        <w:rPr>
          <w:bCs/>
          <w:sz w:val="22"/>
          <w:szCs w:val="22"/>
        </w:rPr>
        <w:t>678 (male</w:t>
      </w:r>
      <w:r w:rsidR="000F0E7F">
        <w:rPr>
          <w:bCs/>
          <w:sz w:val="22"/>
          <w:szCs w:val="22"/>
        </w:rPr>
        <w:t>)</w:t>
      </w:r>
      <w:r w:rsidR="00D316CF">
        <w:rPr>
          <w:bCs/>
          <w:sz w:val="22"/>
          <w:szCs w:val="22"/>
        </w:rPr>
        <w:t>]</w:t>
      </w:r>
      <w:r w:rsidR="002E2049">
        <w:rPr>
          <w:bCs/>
          <w:sz w:val="22"/>
          <w:szCs w:val="22"/>
        </w:rPr>
        <w:t xml:space="preserve">, and </w:t>
      </w:r>
      <w:r w:rsidR="00683827">
        <w:rPr>
          <w:bCs/>
          <w:sz w:val="22"/>
          <w:szCs w:val="22"/>
        </w:rPr>
        <w:t>patients from Ningxia province [HR: 1.221, 95% CI: 1.078-1.385 (Ningxia) vs HR: 1.059, 95% CI: 1.049-1.069 (Zhejiang)]</w:t>
      </w:r>
      <w:r w:rsidR="00BE7B2E">
        <w:rPr>
          <w:bCs/>
          <w:sz w:val="22"/>
          <w:szCs w:val="22"/>
        </w:rPr>
        <w:t xml:space="preserve">. </w:t>
      </w:r>
      <w:r w:rsidR="00683827">
        <w:rPr>
          <w:bCs/>
          <w:sz w:val="22"/>
          <w:szCs w:val="22"/>
        </w:rPr>
        <w:t>For patients living in rural, the hazard ratio (HR)</w:t>
      </w:r>
      <w:r w:rsidR="00BE7B2E">
        <w:rPr>
          <w:bCs/>
          <w:sz w:val="22"/>
          <w:szCs w:val="22"/>
        </w:rPr>
        <w:t xml:space="preserve"> was 1.780 </w:t>
      </w:r>
      <w:r w:rsidR="00683827">
        <w:rPr>
          <w:bCs/>
          <w:sz w:val="22"/>
          <w:szCs w:val="22"/>
        </w:rPr>
        <w:t>[</w:t>
      </w:r>
      <w:r w:rsidR="00BE7B2E">
        <w:rPr>
          <w:bCs/>
          <w:sz w:val="22"/>
          <w:szCs w:val="22"/>
        </w:rPr>
        <w:t>95% CI: 1.731-1.829</w:t>
      </w:r>
      <w:r w:rsidR="00683827">
        <w:rPr>
          <w:bCs/>
          <w:sz w:val="22"/>
          <w:szCs w:val="22"/>
        </w:rPr>
        <w:t xml:space="preserve">] </w:t>
      </w:r>
      <w:r w:rsidR="00BE7B2E">
        <w:rPr>
          <w:bCs/>
          <w:sz w:val="22"/>
          <w:szCs w:val="22"/>
        </w:rPr>
        <w:t>slightly higher than those living in urban areas [</w:t>
      </w:r>
      <w:r w:rsidR="000F0E7F">
        <w:rPr>
          <w:bCs/>
          <w:sz w:val="22"/>
          <w:szCs w:val="22"/>
        </w:rPr>
        <w:t>HR: 1.</w:t>
      </w:r>
      <w:r w:rsidR="00D316CF">
        <w:rPr>
          <w:bCs/>
          <w:sz w:val="22"/>
          <w:szCs w:val="22"/>
        </w:rPr>
        <w:t>739</w:t>
      </w:r>
      <w:r w:rsidR="000F0E7F">
        <w:rPr>
          <w:bCs/>
          <w:sz w:val="22"/>
          <w:szCs w:val="22"/>
        </w:rPr>
        <w:t>, 95% CI: 1.</w:t>
      </w:r>
      <w:r w:rsidR="00D316CF">
        <w:rPr>
          <w:bCs/>
          <w:sz w:val="22"/>
          <w:szCs w:val="22"/>
        </w:rPr>
        <w:t>631</w:t>
      </w:r>
      <w:r w:rsidR="000F0E7F">
        <w:rPr>
          <w:bCs/>
          <w:sz w:val="22"/>
          <w:szCs w:val="22"/>
        </w:rPr>
        <w:t>-1.</w:t>
      </w:r>
      <w:r w:rsidR="00D316CF">
        <w:rPr>
          <w:bCs/>
          <w:sz w:val="22"/>
          <w:szCs w:val="22"/>
        </w:rPr>
        <w:t>854]</w:t>
      </w:r>
      <w:r w:rsidR="000F0E7F">
        <w:rPr>
          <w:bCs/>
          <w:sz w:val="22"/>
          <w:szCs w:val="22"/>
        </w:rPr>
        <w:t xml:space="preserve">. </w:t>
      </w:r>
      <w:r w:rsidR="00D316CF">
        <w:rPr>
          <w:bCs/>
          <w:sz w:val="22"/>
          <w:szCs w:val="22"/>
        </w:rPr>
        <w:t>Exposure to PM</w:t>
      </w:r>
      <w:r w:rsidR="00D316CF" w:rsidRPr="00BE7B2E">
        <w:rPr>
          <w:bCs/>
          <w:sz w:val="22"/>
          <w:szCs w:val="22"/>
          <w:vertAlign w:val="subscript"/>
        </w:rPr>
        <w:t>2.5</w:t>
      </w:r>
      <w:r w:rsidR="00D316CF">
        <w:rPr>
          <w:bCs/>
          <w:sz w:val="22"/>
          <w:szCs w:val="22"/>
        </w:rPr>
        <w:t xml:space="preserve"> </w:t>
      </w:r>
      <w:r w:rsidR="004F3D37">
        <w:rPr>
          <w:bCs/>
          <w:sz w:val="22"/>
          <w:szCs w:val="22"/>
        </w:rPr>
        <w:t xml:space="preserve">in the lower greenness showed </w:t>
      </w:r>
      <w:r w:rsidR="005351C8">
        <w:rPr>
          <w:bCs/>
          <w:sz w:val="22"/>
          <w:szCs w:val="22"/>
        </w:rPr>
        <w:t xml:space="preserve">a </w:t>
      </w:r>
      <w:r w:rsidR="004F3D37">
        <w:rPr>
          <w:bCs/>
          <w:sz w:val="22"/>
          <w:szCs w:val="22"/>
        </w:rPr>
        <w:t xml:space="preserve">trend of increasing mortality risk for </w:t>
      </w:r>
      <w:r w:rsidR="0013756E">
        <w:rPr>
          <w:rFonts w:hint="eastAsia"/>
          <w:bCs/>
          <w:sz w:val="22"/>
          <w:szCs w:val="22"/>
        </w:rPr>
        <w:t>older</w:t>
      </w:r>
      <w:r w:rsidR="0013756E">
        <w:rPr>
          <w:bCs/>
          <w:sz w:val="22"/>
          <w:szCs w:val="22"/>
        </w:rPr>
        <w:t xml:space="preserve"> </w:t>
      </w:r>
      <w:r w:rsidR="004F3D37">
        <w:rPr>
          <w:bCs/>
          <w:sz w:val="22"/>
          <w:szCs w:val="22"/>
        </w:rPr>
        <w:t>(</w:t>
      </w:r>
      <w:proofErr w:type="gramStart"/>
      <w:r w:rsidR="0013756E">
        <w:rPr>
          <w:rFonts w:hint="eastAsia"/>
          <w:bCs/>
          <w:sz w:val="22"/>
          <w:szCs w:val="22"/>
        </w:rPr>
        <w:t>≥</w:t>
      </w:r>
      <w:r w:rsidR="0013756E">
        <w:rPr>
          <w:bCs/>
          <w:sz w:val="22"/>
          <w:szCs w:val="22"/>
        </w:rPr>
        <w:t xml:space="preserve"> </w:t>
      </w:r>
      <w:r w:rsidR="004F3D37">
        <w:rPr>
          <w:rFonts w:hint="eastAsia"/>
          <w:bCs/>
          <w:sz w:val="22"/>
          <w:szCs w:val="22"/>
        </w:rPr>
        <w:t xml:space="preserve"> </w:t>
      </w:r>
      <w:r w:rsidR="004F3D37">
        <w:rPr>
          <w:bCs/>
          <w:sz w:val="22"/>
          <w:szCs w:val="22"/>
        </w:rPr>
        <w:t>60</w:t>
      </w:r>
      <w:proofErr w:type="gramEnd"/>
      <w:r w:rsidR="004F3D37">
        <w:rPr>
          <w:bCs/>
          <w:sz w:val="22"/>
          <w:szCs w:val="22"/>
        </w:rPr>
        <w:t xml:space="preserve"> </w:t>
      </w:r>
      <w:r w:rsidR="004F3D37">
        <w:rPr>
          <w:bCs/>
          <w:sz w:val="22"/>
          <w:szCs w:val="22"/>
        </w:rPr>
        <w:lastRenderedPageBreak/>
        <w:t>years old)</w:t>
      </w:r>
      <w:r w:rsidR="00DA3DE8">
        <w:rPr>
          <w:bCs/>
          <w:sz w:val="22"/>
          <w:szCs w:val="22"/>
        </w:rPr>
        <w:t xml:space="preserve">, male, and </w:t>
      </w:r>
      <w:r w:rsidR="004E20EC">
        <w:rPr>
          <w:bCs/>
          <w:sz w:val="22"/>
          <w:szCs w:val="22"/>
        </w:rPr>
        <w:t>patients</w:t>
      </w:r>
      <w:r w:rsidR="00DA3DE8">
        <w:rPr>
          <w:bCs/>
          <w:sz w:val="22"/>
          <w:szCs w:val="22"/>
        </w:rPr>
        <w:t xml:space="preserve"> living in urban areas</w:t>
      </w:r>
      <w:r w:rsidR="00186710">
        <w:rPr>
          <w:bCs/>
          <w:sz w:val="22"/>
          <w:szCs w:val="22"/>
        </w:rPr>
        <w:t xml:space="preserve"> and Zhejiang province.</w:t>
      </w:r>
      <w:r w:rsidR="008A6E10">
        <w:rPr>
          <w:bCs/>
          <w:sz w:val="22"/>
          <w:szCs w:val="22"/>
        </w:rPr>
        <w:t xml:space="preserve"> </w:t>
      </w:r>
      <w:r w:rsidR="003B103B">
        <w:rPr>
          <w:bCs/>
          <w:sz w:val="22"/>
          <w:szCs w:val="22"/>
        </w:rPr>
        <w:t xml:space="preserve">We did not observe a similar increasing trend among patients in Ningxia </w:t>
      </w:r>
      <w:r w:rsidR="00941BE5">
        <w:rPr>
          <w:rFonts w:hint="eastAsia"/>
          <w:bCs/>
          <w:sz w:val="22"/>
          <w:szCs w:val="22"/>
        </w:rPr>
        <w:t>due</w:t>
      </w:r>
      <w:r w:rsidR="00941BE5">
        <w:rPr>
          <w:bCs/>
          <w:sz w:val="22"/>
          <w:szCs w:val="22"/>
        </w:rPr>
        <w:t xml:space="preserve"> to very limited cases in th</w:t>
      </w:r>
      <w:r w:rsidR="00732AA7">
        <w:rPr>
          <w:bCs/>
          <w:sz w:val="22"/>
          <w:szCs w:val="22"/>
        </w:rPr>
        <w:t>is</w:t>
      </w:r>
      <w:r w:rsidR="00941BE5">
        <w:rPr>
          <w:bCs/>
          <w:sz w:val="22"/>
          <w:szCs w:val="22"/>
        </w:rPr>
        <w:t xml:space="preserve"> </w:t>
      </w:r>
      <w:proofErr w:type="spellStart"/>
      <w:r w:rsidR="00941BE5">
        <w:rPr>
          <w:bCs/>
          <w:sz w:val="22"/>
          <w:szCs w:val="22"/>
        </w:rPr>
        <w:t>tertile</w:t>
      </w:r>
      <w:proofErr w:type="spellEnd"/>
      <w:r w:rsidR="00941BE5">
        <w:rPr>
          <w:bCs/>
          <w:sz w:val="22"/>
          <w:szCs w:val="22"/>
        </w:rPr>
        <w:t xml:space="preserve">. </w:t>
      </w:r>
      <w:r w:rsidR="005351C8">
        <w:rPr>
          <w:bCs/>
          <w:sz w:val="22"/>
          <w:szCs w:val="22"/>
        </w:rPr>
        <w:t xml:space="preserve"> </w:t>
      </w:r>
    </w:p>
    <w:p w14:paraId="4131490C" w14:textId="77777777" w:rsidR="004F3D37" w:rsidRDefault="004F3D37" w:rsidP="007719C5">
      <w:pPr>
        <w:spacing w:line="480" w:lineRule="auto"/>
        <w:rPr>
          <w:bCs/>
          <w:sz w:val="22"/>
          <w:szCs w:val="22"/>
        </w:rPr>
      </w:pPr>
    </w:p>
    <w:p w14:paraId="1C6C20FB" w14:textId="3B943E92" w:rsidR="00C65520" w:rsidRPr="00C65520" w:rsidRDefault="00C65520" w:rsidP="007719C5">
      <w:pPr>
        <w:spacing w:line="480" w:lineRule="auto"/>
        <w:rPr>
          <w:b/>
          <w:bCs/>
          <w:i/>
          <w:sz w:val="22"/>
          <w:szCs w:val="22"/>
        </w:rPr>
      </w:pPr>
      <w:r w:rsidRPr="00C65520">
        <w:rPr>
          <w:b/>
          <w:bCs/>
          <w:i/>
          <w:sz w:val="22"/>
          <w:szCs w:val="22"/>
        </w:rPr>
        <w:t xml:space="preserve">Exposure-response </w:t>
      </w:r>
      <w:r>
        <w:rPr>
          <w:b/>
          <w:bCs/>
          <w:i/>
          <w:sz w:val="22"/>
          <w:szCs w:val="22"/>
        </w:rPr>
        <w:t>curve</w:t>
      </w:r>
      <w:r w:rsidRPr="00C65520">
        <w:rPr>
          <w:b/>
          <w:bCs/>
          <w:i/>
          <w:sz w:val="22"/>
          <w:szCs w:val="22"/>
        </w:rPr>
        <w:t xml:space="preserve">s </w:t>
      </w:r>
    </w:p>
    <w:p w14:paraId="44C63A17" w14:textId="4B47973D" w:rsidR="00B528E4" w:rsidRDefault="00D41C6F" w:rsidP="007719C5">
      <w:pPr>
        <w:spacing w:line="480" w:lineRule="auto"/>
        <w:rPr>
          <w:bCs/>
          <w:sz w:val="22"/>
          <w:szCs w:val="22"/>
        </w:rPr>
      </w:pPr>
      <w:r>
        <w:rPr>
          <w:bCs/>
          <w:sz w:val="22"/>
          <w:szCs w:val="22"/>
        </w:rPr>
        <w:t>The exposure-response curves shown in Figure 3 suggested non-linearity in the association between PM</w:t>
      </w:r>
      <w:r w:rsidRPr="00D41C6F">
        <w:rPr>
          <w:bCs/>
          <w:sz w:val="22"/>
          <w:szCs w:val="22"/>
          <w:vertAlign w:val="subscript"/>
        </w:rPr>
        <w:t>2.5</w:t>
      </w:r>
      <w:r>
        <w:rPr>
          <w:bCs/>
          <w:sz w:val="22"/>
          <w:szCs w:val="22"/>
        </w:rPr>
        <w:t xml:space="preserve"> </w:t>
      </w:r>
      <w:r w:rsidR="00DB23D9">
        <w:rPr>
          <w:bCs/>
          <w:sz w:val="22"/>
          <w:szCs w:val="22"/>
        </w:rPr>
        <w:t xml:space="preserve">exposure </w:t>
      </w:r>
      <w:r>
        <w:rPr>
          <w:bCs/>
          <w:sz w:val="22"/>
          <w:szCs w:val="22"/>
        </w:rPr>
        <w:t xml:space="preserve">and mortality among MDR-TB patients for the full cohort </w:t>
      </w:r>
      <w:r w:rsidR="00CB5201">
        <w:rPr>
          <w:bCs/>
          <w:sz w:val="22"/>
          <w:szCs w:val="22"/>
        </w:rPr>
        <w:t xml:space="preserve">(Figure 3a) </w:t>
      </w:r>
      <w:r>
        <w:rPr>
          <w:bCs/>
          <w:sz w:val="22"/>
          <w:szCs w:val="22"/>
        </w:rPr>
        <w:t xml:space="preserve">and </w:t>
      </w:r>
      <w:r w:rsidR="001A6238">
        <w:rPr>
          <w:bCs/>
          <w:sz w:val="22"/>
          <w:szCs w:val="22"/>
        </w:rPr>
        <w:t>the</w:t>
      </w:r>
      <w:r>
        <w:rPr>
          <w:bCs/>
          <w:sz w:val="22"/>
          <w:szCs w:val="22"/>
        </w:rPr>
        <w:t xml:space="preserve"> three </w:t>
      </w:r>
      <w:proofErr w:type="spellStart"/>
      <w:r w:rsidR="007A0FDA">
        <w:rPr>
          <w:bCs/>
          <w:sz w:val="22"/>
          <w:szCs w:val="22"/>
        </w:rPr>
        <w:t>tertiles</w:t>
      </w:r>
      <w:proofErr w:type="spellEnd"/>
      <w:r w:rsidR="007A0FDA">
        <w:rPr>
          <w:bCs/>
          <w:sz w:val="22"/>
          <w:szCs w:val="22"/>
        </w:rPr>
        <w:t xml:space="preserve"> </w:t>
      </w:r>
      <w:r w:rsidR="00CB5201">
        <w:rPr>
          <w:bCs/>
          <w:sz w:val="22"/>
          <w:szCs w:val="22"/>
        </w:rPr>
        <w:t xml:space="preserve">(Figure </w:t>
      </w:r>
      <w:r w:rsidR="00BE3DAD">
        <w:rPr>
          <w:bCs/>
          <w:sz w:val="22"/>
          <w:szCs w:val="22"/>
        </w:rPr>
        <w:t>3b, 3c, and 3d</w:t>
      </w:r>
      <w:r w:rsidR="00CB5201">
        <w:rPr>
          <w:bCs/>
          <w:sz w:val="22"/>
          <w:szCs w:val="22"/>
        </w:rPr>
        <w:t xml:space="preserve">) </w:t>
      </w:r>
      <w:r w:rsidR="007A0FDA">
        <w:rPr>
          <w:bCs/>
          <w:sz w:val="22"/>
          <w:szCs w:val="22"/>
        </w:rPr>
        <w:t xml:space="preserve">of NDVI, within the 500m buffer around patient’s residence. </w:t>
      </w:r>
      <w:r w:rsidR="00B528E4">
        <w:rPr>
          <w:bCs/>
          <w:sz w:val="22"/>
          <w:szCs w:val="22"/>
        </w:rPr>
        <w:t>Cumulative exposures increased the hazard ratios</w:t>
      </w:r>
      <w:r w:rsidR="001A6238">
        <w:rPr>
          <w:bCs/>
          <w:sz w:val="22"/>
          <w:szCs w:val="22"/>
        </w:rPr>
        <w:t xml:space="preserve"> of PM</w:t>
      </w:r>
      <w:r w:rsidR="001A6238" w:rsidRPr="00B528E4">
        <w:rPr>
          <w:bCs/>
          <w:sz w:val="22"/>
          <w:szCs w:val="22"/>
          <w:vertAlign w:val="subscript"/>
        </w:rPr>
        <w:t>2.5</w:t>
      </w:r>
      <w:r w:rsidR="001A6238">
        <w:rPr>
          <w:bCs/>
          <w:sz w:val="22"/>
          <w:szCs w:val="22"/>
        </w:rPr>
        <w:t xml:space="preserve">-related </w:t>
      </w:r>
      <w:r w:rsidR="00B528E4">
        <w:rPr>
          <w:bCs/>
          <w:sz w:val="22"/>
          <w:szCs w:val="22"/>
        </w:rPr>
        <w:t xml:space="preserve">mortality, while greater greenness </w:t>
      </w:r>
      <w:r w:rsidR="003653DF">
        <w:rPr>
          <w:bCs/>
          <w:sz w:val="22"/>
          <w:szCs w:val="22"/>
        </w:rPr>
        <w:t xml:space="preserve">substantially </w:t>
      </w:r>
      <w:r w:rsidR="00B528E4">
        <w:rPr>
          <w:bCs/>
          <w:sz w:val="22"/>
          <w:szCs w:val="22"/>
        </w:rPr>
        <w:t>flattened the risk</w:t>
      </w:r>
      <w:r w:rsidR="00161E62">
        <w:rPr>
          <w:bCs/>
          <w:sz w:val="22"/>
          <w:szCs w:val="22"/>
        </w:rPr>
        <w:t xml:space="preserve"> </w:t>
      </w:r>
      <w:r w:rsidR="000A54EE">
        <w:rPr>
          <w:bCs/>
          <w:sz w:val="22"/>
          <w:szCs w:val="22"/>
        </w:rPr>
        <w:t xml:space="preserve">with the HRs reduced in </w:t>
      </w:r>
      <w:r w:rsidR="00DF48C5">
        <w:rPr>
          <w:bCs/>
          <w:sz w:val="22"/>
          <w:szCs w:val="22"/>
        </w:rPr>
        <w:t>0.188 (95% CI, 0.123, 0.253</w:t>
      </w:r>
      <w:r w:rsidR="00370046">
        <w:rPr>
          <w:bCs/>
          <w:sz w:val="22"/>
          <w:szCs w:val="22"/>
        </w:rPr>
        <w:t>)</w:t>
      </w:r>
      <w:r w:rsidR="00161E62">
        <w:rPr>
          <w:bCs/>
          <w:sz w:val="22"/>
          <w:szCs w:val="22"/>
        </w:rPr>
        <w:t xml:space="preserve"> </w:t>
      </w:r>
      <w:r w:rsidR="00370046">
        <w:rPr>
          <w:bCs/>
          <w:sz w:val="22"/>
          <w:szCs w:val="22"/>
        </w:rPr>
        <w:t>(</w:t>
      </w:r>
      <w:proofErr w:type="spellStart"/>
      <w:r w:rsidR="00370046">
        <w:rPr>
          <w:bCs/>
          <w:sz w:val="22"/>
          <w:szCs w:val="22"/>
        </w:rPr>
        <w:t>tertile</w:t>
      </w:r>
      <w:proofErr w:type="spellEnd"/>
      <w:r w:rsidR="00370046">
        <w:rPr>
          <w:bCs/>
          <w:sz w:val="22"/>
          <w:szCs w:val="22"/>
        </w:rPr>
        <w:t xml:space="preserve"> 2, </w:t>
      </w:r>
      <w:r w:rsidR="00161E62">
        <w:rPr>
          <w:bCs/>
          <w:sz w:val="22"/>
          <w:szCs w:val="22"/>
        </w:rPr>
        <w:t>Figure 3c</w:t>
      </w:r>
      <w:r w:rsidR="00DF48C5">
        <w:rPr>
          <w:bCs/>
          <w:sz w:val="22"/>
          <w:szCs w:val="22"/>
        </w:rPr>
        <w:t>) to 0.194 (95% CI, 0.129, 0.259</w:t>
      </w:r>
      <w:r w:rsidR="00370046">
        <w:rPr>
          <w:bCs/>
          <w:sz w:val="22"/>
          <w:szCs w:val="22"/>
        </w:rPr>
        <w:t>)</w:t>
      </w:r>
      <w:r w:rsidR="00161E62">
        <w:rPr>
          <w:bCs/>
          <w:sz w:val="22"/>
          <w:szCs w:val="22"/>
        </w:rPr>
        <w:t xml:space="preserve"> </w:t>
      </w:r>
      <w:r w:rsidR="00370046">
        <w:rPr>
          <w:bCs/>
          <w:sz w:val="22"/>
          <w:szCs w:val="22"/>
        </w:rPr>
        <w:t>(</w:t>
      </w:r>
      <w:proofErr w:type="spellStart"/>
      <w:r w:rsidR="00370046">
        <w:rPr>
          <w:bCs/>
          <w:sz w:val="22"/>
          <w:szCs w:val="22"/>
        </w:rPr>
        <w:t>tertile</w:t>
      </w:r>
      <w:proofErr w:type="spellEnd"/>
      <w:r w:rsidR="00370046">
        <w:rPr>
          <w:bCs/>
          <w:sz w:val="22"/>
          <w:szCs w:val="22"/>
        </w:rPr>
        <w:t xml:space="preserve"> 3, </w:t>
      </w:r>
      <w:r w:rsidR="00161E62">
        <w:rPr>
          <w:bCs/>
          <w:sz w:val="22"/>
          <w:szCs w:val="22"/>
        </w:rPr>
        <w:t>Figure 3d</w:t>
      </w:r>
      <w:r w:rsidR="00DF48C5">
        <w:rPr>
          <w:bCs/>
          <w:sz w:val="22"/>
          <w:szCs w:val="22"/>
        </w:rPr>
        <w:t xml:space="preserve">) </w:t>
      </w:r>
      <w:r w:rsidR="0069219C">
        <w:rPr>
          <w:bCs/>
          <w:sz w:val="22"/>
          <w:szCs w:val="22"/>
        </w:rPr>
        <w:t>on</w:t>
      </w:r>
      <w:r w:rsidR="00876D49">
        <w:rPr>
          <w:bCs/>
          <w:sz w:val="22"/>
          <w:szCs w:val="22"/>
        </w:rPr>
        <w:t xml:space="preserve"> average, compared to </w:t>
      </w:r>
      <w:r w:rsidR="00873D82">
        <w:rPr>
          <w:bCs/>
          <w:sz w:val="22"/>
          <w:szCs w:val="22"/>
        </w:rPr>
        <w:t xml:space="preserve">the lowest greenness </w:t>
      </w:r>
      <w:r w:rsidR="003C75BB">
        <w:rPr>
          <w:bCs/>
          <w:sz w:val="22"/>
          <w:szCs w:val="22"/>
        </w:rPr>
        <w:t>(</w:t>
      </w:r>
      <w:proofErr w:type="spellStart"/>
      <w:r w:rsidR="003C75BB">
        <w:rPr>
          <w:bCs/>
          <w:sz w:val="22"/>
          <w:szCs w:val="22"/>
        </w:rPr>
        <w:t>tertile</w:t>
      </w:r>
      <w:proofErr w:type="spellEnd"/>
      <w:r w:rsidR="003C75BB">
        <w:rPr>
          <w:bCs/>
          <w:sz w:val="22"/>
          <w:szCs w:val="22"/>
        </w:rPr>
        <w:t xml:space="preserve"> 1, Figure 3b)</w:t>
      </w:r>
      <w:r w:rsidR="00176B29">
        <w:rPr>
          <w:bCs/>
          <w:sz w:val="22"/>
          <w:szCs w:val="22"/>
        </w:rPr>
        <w:t xml:space="preserve">. </w:t>
      </w:r>
    </w:p>
    <w:p w14:paraId="1481D495" w14:textId="65F53214" w:rsidR="008D44A0" w:rsidRDefault="008D44A0" w:rsidP="007719C5">
      <w:pPr>
        <w:spacing w:line="480" w:lineRule="auto"/>
        <w:rPr>
          <w:bCs/>
          <w:sz w:val="22"/>
          <w:szCs w:val="22"/>
        </w:rPr>
      </w:pPr>
    </w:p>
    <w:p w14:paraId="0A8F038F" w14:textId="4D4F9F00" w:rsidR="004E0CBF" w:rsidRDefault="004E0CBF" w:rsidP="007719C5">
      <w:pPr>
        <w:spacing w:line="480" w:lineRule="auto"/>
        <w:rPr>
          <w:bCs/>
          <w:sz w:val="22"/>
          <w:szCs w:val="22"/>
        </w:rPr>
      </w:pPr>
    </w:p>
    <w:p w14:paraId="0293AF47" w14:textId="77777777" w:rsidR="004E0CBF" w:rsidRDefault="004E0CBF" w:rsidP="007719C5">
      <w:pPr>
        <w:spacing w:line="480" w:lineRule="auto"/>
        <w:rPr>
          <w:bCs/>
          <w:sz w:val="22"/>
          <w:szCs w:val="22"/>
        </w:rPr>
      </w:pPr>
    </w:p>
    <w:p w14:paraId="3B422857" w14:textId="3C53E986" w:rsidR="008D44A0" w:rsidRDefault="004E0CBF" w:rsidP="004E0CBF">
      <w:pPr>
        <w:spacing w:line="480" w:lineRule="auto"/>
        <w:jc w:val="center"/>
        <w:rPr>
          <w:bCs/>
          <w:sz w:val="22"/>
          <w:szCs w:val="22"/>
        </w:rPr>
      </w:pPr>
      <w:r>
        <w:rPr>
          <w:bCs/>
          <w:noProof/>
          <w:sz w:val="22"/>
          <w:szCs w:val="22"/>
        </w:rPr>
        <w:lastRenderedPageBreak/>
        <w:drawing>
          <wp:inline distT="0" distB="0" distL="0" distR="0" wp14:anchorId="6766CF3C" wp14:editId="41BBED5B">
            <wp:extent cx="5941118" cy="4094205"/>
            <wp:effectExtent l="0" t="0" r="254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63769" cy="4109814"/>
                    </a:xfrm>
                    <a:prstGeom prst="rect">
                      <a:avLst/>
                    </a:prstGeom>
                  </pic:spPr>
                </pic:pic>
              </a:graphicData>
            </a:graphic>
          </wp:inline>
        </w:drawing>
      </w:r>
    </w:p>
    <w:p w14:paraId="04916F2E" w14:textId="77777777" w:rsidR="004E0CBF" w:rsidRPr="007719C5" w:rsidRDefault="004E0CBF" w:rsidP="004E0CBF">
      <w:pPr>
        <w:spacing w:line="360" w:lineRule="auto"/>
        <w:rPr>
          <w:bCs/>
          <w:sz w:val="22"/>
          <w:szCs w:val="22"/>
        </w:rPr>
      </w:pPr>
      <w:r>
        <w:rPr>
          <w:bCs/>
          <w:sz w:val="22"/>
          <w:szCs w:val="22"/>
        </w:rPr>
        <w:t xml:space="preserve">Figure 3. </w:t>
      </w:r>
      <w:r w:rsidRPr="00417823">
        <w:rPr>
          <w:bCs/>
          <w:sz w:val="22"/>
          <w:szCs w:val="22"/>
        </w:rPr>
        <w:t>Association curve</w:t>
      </w:r>
      <w:r>
        <w:rPr>
          <w:bCs/>
          <w:sz w:val="22"/>
          <w:szCs w:val="22"/>
        </w:rPr>
        <w:t>s (in red) with 95% confidence intervals (in light blue)</w:t>
      </w:r>
      <w:r w:rsidRPr="00417823">
        <w:rPr>
          <w:bCs/>
          <w:sz w:val="22"/>
          <w:szCs w:val="22"/>
        </w:rPr>
        <w:t xml:space="preserve"> for annual mean PM2.5 and mortality for (a) the full cohort of 2,305 MDR-TB patients and individuals under different </w:t>
      </w:r>
      <w:proofErr w:type="spellStart"/>
      <w:r w:rsidRPr="00417823">
        <w:rPr>
          <w:bCs/>
          <w:sz w:val="22"/>
          <w:szCs w:val="22"/>
        </w:rPr>
        <w:t>tertiles</w:t>
      </w:r>
      <w:proofErr w:type="spellEnd"/>
      <w:r w:rsidRPr="00417823">
        <w:rPr>
          <w:bCs/>
          <w:sz w:val="22"/>
          <w:szCs w:val="22"/>
        </w:rPr>
        <w:t xml:space="preserve"> of contemporaneous NDVI: (b) </w:t>
      </w:r>
      <w:proofErr w:type="spellStart"/>
      <w:r w:rsidRPr="00417823">
        <w:rPr>
          <w:bCs/>
          <w:sz w:val="22"/>
          <w:szCs w:val="22"/>
        </w:rPr>
        <w:t>Tertile</w:t>
      </w:r>
      <w:proofErr w:type="spellEnd"/>
      <w:r w:rsidRPr="00417823">
        <w:rPr>
          <w:bCs/>
          <w:sz w:val="22"/>
          <w:szCs w:val="22"/>
        </w:rPr>
        <w:t xml:space="preserve"> 1 of contemporaneous NDVI. (c) </w:t>
      </w:r>
      <w:proofErr w:type="spellStart"/>
      <w:r w:rsidRPr="00417823">
        <w:rPr>
          <w:bCs/>
          <w:sz w:val="22"/>
          <w:szCs w:val="22"/>
        </w:rPr>
        <w:t>Tertile</w:t>
      </w:r>
      <w:proofErr w:type="spellEnd"/>
      <w:r w:rsidRPr="00417823">
        <w:rPr>
          <w:bCs/>
          <w:sz w:val="22"/>
          <w:szCs w:val="22"/>
        </w:rPr>
        <w:t xml:space="preserve"> 2 of contemporaneous NDVI. (c) </w:t>
      </w:r>
      <w:proofErr w:type="spellStart"/>
      <w:r w:rsidRPr="00417823">
        <w:rPr>
          <w:bCs/>
          <w:sz w:val="22"/>
          <w:szCs w:val="22"/>
        </w:rPr>
        <w:t>Tertile</w:t>
      </w:r>
      <w:proofErr w:type="spellEnd"/>
      <w:r w:rsidRPr="00417823">
        <w:rPr>
          <w:bCs/>
          <w:sz w:val="22"/>
          <w:szCs w:val="22"/>
        </w:rPr>
        <w:t xml:space="preserve"> 3 of contemporaneous NDVI. </w:t>
      </w:r>
      <w:r>
        <w:rPr>
          <w:bCs/>
          <w:sz w:val="22"/>
          <w:szCs w:val="22"/>
        </w:rPr>
        <w:t xml:space="preserve">Through the ANOVA test and the calculation of the Tukey Honest Significant Differences, we found that the HRs of tertials 2 and 3 were 0.194 (95% CI, 0.129, 0.259) and 0.188 (95% CI, 0.123, 0.253) lower than that of </w:t>
      </w:r>
      <w:proofErr w:type="spellStart"/>
      <w:r>
        <w:rPr>
          <w:bCs/>
          <w:sz w:val="22"/>
          <w:szCs w:val="22"/>
        </w:rPr>
        <w:t>tertile</w:t>
      </w:r>
      <w:proofErr w:type="spellEnd"/>
      <w:r>
        <w:rPr>
          <w:bCs/>
          <w:sz w:val="22"/>
          <w:szCs w:val="22"/>
        </w:rPr>
        <w:t xml:space="preserve"> 1 on average. </w:t>
      </w:r>
      <w:r w:rsidRPr="00417823">
        <w:rPr>
          <w:bCs/>
          <w:sz w:val="22"/>
          <w:szCs w:val="22"/>
        </w:rPr>
        <w:t xml:space="preserve">HR = Hazard ratio. NDVI = normalized difference vegetation index. PM2.5 = fine particulate matter.  </w:t>
      </w:r>
      <w:r>
        <w:rPr>
          <w:bCs/>
          <w:sz w:val="22"/>
          <w:szCs w:val="22"/>
        </w:rPr>
        <w:t xml:space="preserve"> </w:t>
      </w:r>
    </w:p>
    <w:p w14:paraId="407ED4A4" w14:textId="53C6E248" w:rsidR="00C65520" w:rsidRDefault="00C65520" w:rsidP="007719C5">
      <w:pPr>
        <w:spacing w:line="480" w:lineRule="auto"/>
        <w:rPr>
          <w:b/>
          <w:bCs/>
          <w:sz w:val="22"/>
          <w:szCs w:val="22"/>
        </w:rPr>
      </w:pPr>
    </w:p>
    <w:p w14:paraId="31490536" w14:textId="6C1D9857" w:rsidR="00CF197F" w:rsidRDefault="00CF197F" w:rsidP="007719C5">
      <w:pPr>
        <w:spacing w:line="480" w:lineRule="auto"/>
        <w:rPr>
          <w:b/>
          <w:bCs/>
          <w:sz w:val="22"/>
          <w:szCs w:val="22"/>
        </w:rPr>
      </w:pPr>
      <w:r>
        <w:rPr>
          <w:b/>
          <w:bCs/>
          <w:sz w:val="22"/>
          <w:szCs w:val="22"/>
        </w:rPr>
        <w:t>Discussion</w:t>
      </w:r>
    </w:p>
    <w:p w14:paraId="24997AFB" w14:textId="578D652A" w:rsidR="00F048AD" w:rsidRDefault="00732AA7" w:rsidP="007719C5">
      <w:pPr>
        <w:spacing w:line="480" w:lineRule="auto"/>
        <w:rPr>
          <w:iCs/>
          <w:sz w:val="22"/>
          <w:szCs w:val="22"/>
        </w:rPr>
      </w:pPr>
      <w:r>
        <w:rPr>
          <w:bCs/>
          <w:sz w:val="22"/>
          <w:szCs w:val="22"/>
        </w:rPr>
        <w:t>To our knowledge, t</w:t>
      </w:r>
      <w:r w:rsidR="00B528E4" w:rsidRPr="00B528E4">
        <w:rPr>
          <w:bCs/>
          <w:sz w:val="22"/>
          <w:szCs w:val="22"/>
        </w:rPr>
        <w:t xml:space="preserve">his </w:t>
      </w:r>
      <w:r w:rsidR="00540D27">
        <w:rPr>
          <w:bCs/>
          <w:sz w:val="22"/>
          <w:szCs w:val="22"/>
        </w:rPr>
        <w:t xml:space="preserve">study </w:t>
      </w:r>
      <w:r w:rsidR="00B528E4">
        <w:rPr>
          <w:bCs/>
          <w:sz w:val="22"/>
          <w:szCs w:val="22"/>
        </w:rPr>
        <w:t>represents the l</w:t>
      </w:r>
      <w:r w:rsidR="007308BA">
        <w:rPr>
          <w:bCs/>
          <w:sz w:val="22"/>
          <w:szCs w:val="22"/>
        </w:rPr>
        <w:t>argest population-based study</w:t>
      </w:r>
      <w:r w:rsidR="00B528E4">
        <w:rPr>
          <w:bCs/>
          <w:sz w:val="22"/>
          <w:szCs w:val="22"/>
        </w:rPr>
        <w:t xml:space="preserve"> of</w:t>
      </w:r>
      <w:r w:rsidR="007308BA">
        <w:rPr>
          <w:bCs/>
          <w:sz w:val="22"/>
          <w:szCs w:val="22"/>
        </w:rPr>
        <w:t xml:space="preserve"> MDR-TB in China with 11 years of follow-up. Although </w:t>
      </w:r>
      <w:r w:rsidR="007308BA">
        <w:rPr>
          <w:sz w:val="22"/>
          <w:szCs w:val="22"/>
        </w:rPr>
        <w:t xml:space="preserve">MDR-TB is treatable and curable with second-line drugs, the disease has high mortality, responsible for </w:t>
      </w:r>
      <w:r w:rsidR="00540D27">
        <w:rPr>
          <w:sz w:val="22"/>
          <w:szCs w:val="22"/>
        </w:rPr>
        <w:t xml:space="preserve">an estimate of </w:t>
      </w:r>
      <w:r w:rsidR="007308BA">
        <w:rPr>
          <w:sz w:val="22"/>
          <w:szCs w:val="22"/>
        </w:rPr>
        <w:t>2.5 million deaths</w:t>
      </w:r>
      <w:r w:rsidR="00760DF5">
        <w:rPr>
          <w:sz w:val="22"/>
          <w:szCs w:val="22"/>
        </w:rPr>
        <w:t xml:space="preserve"> globally </w:t>
      </w:r>
      <w:r w:rsidR="008E31B6">
        <w:rPr>
          <w:sz w:val="22"/>
          <w:szCs w:val="22"/>
        </w:rPr>
        <w:t>by 2050</w:t>
      </w:r>
      <w:r w:rsidR="007308BA">
        <w:rPr>
          <w:sz w:val="22"/>
          <w:szCs w:val="22"/>
        </w:rPr>
        <w:t xml:space="preserve"> if no intervention</w:t>
      </w:r>
      <w:r w:rsidR="00B479AC">
        <w:rPr>
          <w:sz w:val="22"/>
          <w:szCs w:val="22"/>
        </w:rPr>
        <w:t>s</w:t>
      </w:r>
      <w:r w:rsidR="007308BA">
        <w:rPr>
          <w:sz w:val="22"/>
          <w:szCs w:val="22"/>
        </w:rPr>
        <w:t xml:space="preserve"> </w:t>
      </w:r>
      <w:r w:rsidR="007308BA">
        <w:rPr>
          <w:sz w:val="22"/>
          <w:szCs w:val="22"/>
        </w:rPr>
        <w:fldChar w:fldCharType="begin"/>
      </w:r>
      <w:r w:rsidR="001B437E">
        <w:rPr>
          <w:sz w:val="22"/>
          <w:szCs w:val="22"/>
        </w:rPr>
        <w:instrText xml:space="preserve"> ADDIN ZOTERO_ITEM CSL_CITATION {"citationID":"SkUbQycR","properties":{"formattedCitation":"[29]","plainCitation":"[29]","noteIndex":0},"citationItems":[{"id":293,"uris":["http://zotero.org/users/4920080/items/TZKDPZQP"],"uri":["http://zotero.org/users/4920080/items/TZKDPZQP"],"itemData":{"id":293,"type":"report","title":"It's Time to End Drug-Resistant Tuberculosis: The case for action.","URL":"https://www.eiu.com/graphics/marketing/pdf/its-time-to-end-drug-resistant-tuberculosis-full-report.pdf","author":[{"family":"The Economist","given":""}],"issued":{"date-parts":[["2019",1,1]]}}}],"schema":"https://github.com/citation-style-language/schema/raw/master/csl-citation.json"} </w:instrText>
      </w:r>
      <w:r w:rsidR="007308BA">
        <w:rPr>
          <w:sz w:val="22"/>
          <w:szCs w:val="22"/>
        </w:rPr>
        <w:fldChar w:fldCharType="separate"/>
      </w:r>
      <w:r w:rsidR="001B437E">
        <w:rPr>
          <w:noProof/>
          <w:sz w:val="22"/>
          <w:szCs w:val="22"/>
        </w:rPr>
        <w:t>[29]</w:t>
      </w:r>
      <w:r w:rsidR="007308BA">
        <w:rPr>
          <w:sz w:val="22"/>
          <w:szCs w:val="22"/>
        </w:rPr>
        <w:fldChar w:fldCharType="end"/>
      </w:r>
      <w:r w:rsidR="007308BA">
        <w:rPr>
          <w:sz w:val="22"/>
          <w:szCs w:val="22"/>
        </w:rPr>
        <w:t xml:space="preserve">. </w:t>
      </w:r>
      <w:r w:rsidR="00E24CBC">
        <w:rPr>
          <w:sz w:val="22"/>
          <w:szCs w:val="22"/>
        </w:rPr>
        <w:t>Inhaled PM was noted relevant to TB infection and transmission</w:t>
      </w:r>
      <w:r w:rsidR="00540D27">
        <w:rPr>
          <w:iCs/>
          <w:sz w:val="22"/>
          <w:szCs w:val="22"/>
        </w:rPr>
        <w:t xml:space="preserve"> </w:t>
      </w:r>
      <w:r w:rsidR="0056733F">
        <w:rPr>
          <w:iCs/>
          <w:sz w:val="22"/>
          <w:szCs w:val="22"/>
        </w:rPr>
        <w:fldChar w:fldCharType="begin"/>
      </w:r>
      <w:r w:rsidR="001B437E">
        <w:rPr>
          <w:iCs/>
          <w:sz w:val="22"/>
          <w:szCs w:val="22"/>
        </w:rPr>
        <w:instrText xml:space="preserve"> ADDIN ZOTERO_ITEM CSL_CITATION {"citationID":"Iu1B6om6","properties":{"formattedCitation":"[30\\uc0\\u8211{}32]","plainCitation":"[30–32]","noteIndex":0},"citationItems":[{"id":243,"uris":["http://zotero.org/users/4920080/items/YMHMLCH4"],"uri":["http://zotero.org/users/4920080/items/YMHMLCH4"],"itemData":{"id":243,"type":"article-journal","abstract":"Background\nBroad-scale evidence has shown the significant association between ambient air pollutants and the development of tuberculosis (TB). However, the impact of air quality on the risk of TB in Taiwan is still poorly understood.\n\nObjective\nTo develop a probabilistic integrated population-level risk assessment approach for evaluating the contribution of ambient air pollution exposure to the risk of TB development among different regions of Taiwan.\n\nMaterials and methods\nA Bayesian-based probabilistic risk assessment model was implemented to link exposure concentrations of various air pollutants quantified in a probabilistic manner with the population-based exposure-response models developed by using an epidemiological investigation.\n\nResults\nThe increment of the risk of TB occurred in a region with a higher level of air pollution, indicating a strong relationship between ambient air pollution exposures and TB incidences. Carbon monoxide (CO) exposure showed the highest population attributable fraction (PAF), followed by nitrogen oxides (NOX) and nitrogen dioxide (NO2) exposures. In a region with higher ambient air pollution, it is most likely (80% risk probability) that the contributions of CO exposure to development of TB were 1.6–12.2% (range of median PAFs), whereas NOX and NO2 exposures contributed 1.2–9.8% to developing TB.\n\nConclusion\nOur findings provide strong empirical support for the hypothesis and observations from the literature that poor air quality is highly likely to link aetiologically to the risk of TB. Therefore, substantial reductions in CO, NOX, and NO2 exposures are predicted to have health benefits to susceptible and latently infected individuals that provide complementary mitigation efforts in reducing the burden of TB. Considering that people continue to be exposed to both TB bacilli and ambient air pollutants, our approach can be applied for different countries/regions to identify which air pollutants contribute to a higher risk of TB in order to develop potential mitigation programs.","container-title":"Infection and Drug Resistance","DOI":"10.2147/IDR.S227823","ISSN":"1178-6973","journalAbbreviation":"Infect Drug Resist","note":"PMID: 31827330\nPMCID: PMC6902850","page":"3835-3847","source":"PubMed Central","title":"Association Between Ambient Air Pollution and Elevated Risk of Tuberculosis Development","volume":"12","author":[{"family":"Lin","given":"Yi-Jun"},{"family":"Lin","given":"Hsing-Chieh"},{"family":"Yang","given":"Ying-Fei"},{"family":"Chen","given":"Chi-Yun"},{"family":"Ling","given":"Min-Pei"},{"family":"Chen","given":"Szu-Chieh"},{"family":"Chen","given":"Wei-Yu"},{"family":"You","given":"Shu-Han"},{"family":"Lu","given":"Tien-Hsuan"},{"family":"Liao","given":"Chung-Min"}],"issued":{"date-parts":[["2019",12,6]]}},"label":"page"},{"id":"u3aZZJWI/qiH1Z3y1","uris":["http://zotero.org/users/4920080/items/LL8UILX3"],"uri":["http://zotero.org/users/4920080/items/LL8UILX3"],"itemData":{"id":990,"type":"article-journal","abstract":"Objectives\nTo explore the long-term effect of exposure to ambient air pollution on the risk of active tuberculosis (TB).\nMethods\nWe constructed a distributed-lag nonlinear model (DLNM) to evaluate the relatively long-term influence of outdoor PM2.5, PM10, SO2 and NO2 exposure on active TB risk in the city of Lianyungang in Jiangsu Province, China.\nResults\nThere were 7,282 TB cases reported in the study area during 2014–2017, with annual median (interquartile range) concentrations of PM2.5, PM10, SO2 and NO2 at 45.86 (34.57–64.14) μg/m3, 85.43 (62.86–116.14) μg/m3, 22.00 (15.71–30.86) μg/m3 and 30.00 (23.29–38.57) μg/m3, respectively. The single-pollutant model showed that for each 10 μg/m3 increase in concentration, the cumulative relative risk of TB was 1.12 (lag 0–24 weeks, 95% CI: 1.03–1.22) for PM2.5 with reference to 35 μg/m3; 1.11 (lag 0–21 weeks, 95% CI: 1.06–1.17) for PM10 with reference to 70 μg/m3; 1.37 (lag 0–20 weeks, 95% CI: 1.16–1.62) for SO2 with reference to 60 μg/m3; and 1.29 (lag 0–22 weeks, 95% CI: 1.11–1.49) for NO2 with reference to 40 μg/m3. In the multipollutant model considering both PM10 and NO2, the association remained significant.\nConclusions\nOur results revealed a potential association between outdoor exposure to PM2.5, PM10, SO2, and NO2 and active TB. Considering that people from developing countries continue to be exposed to both severe outdoor air pollution and high rates of latent TB infection, the association between worsening air pollution and active TB deserves further attention.","container-title":"International Journal of Infectious Diseases","DOI":"10.1016/j.ijid.2019.07.027","ISSN":"1201-9712","journalAbbreviation":"International Journal of Infectious Diseases","language":"en","page":"177-184","source":"ScienceDirect","title":"Long-term effect of exposure to ambient air pollution on the risk of active tuberculosis","volume":"87","author":[{"family":"Li","given":"Zhongqi"},{"family":"Mao","given":"Xuhua"},{"family":"Liu","given":"Qiao"},{"family":"Song","given":"Huan"},{"family":"Ji","given":"Ye"},{"family":"Xu","given":"Dian"},{"family":"Qiu","given":"Beibei"},{"family":"Tian","given":"Dan"},{"family":"Wang","given":"Jianming"}],"issued":{"date-parts":[["2019",10,1]]}},"label":"page"},{"id":249,"uris":["http://zotero.org/users/4920080/items/NALR9QQ9"],"uri":["http://zotero.org/users/4920080/items/NALR9QQ9"],"itemData":{"id":249,"type":"article-journal","abstract":"Background/Aims\nAlthough indoor air pollution is a well-known risk factor for tuberculosis (TB), the possible link between outdoor air pollution and TB development has not been examined fully. We assessed the impact of outdoor air pollution on TB development in the Seoul metropolitan area, South Korea.\n\nMethods\nThe mean concentrations of ambient particulate matter (PM) with an aerodynamic diameter ≤ 10 µm (PM10), O3, CO, NO2, and SO2 levels in Seoul, between January 1, 1997 and December 31, 2006, were determined. Furthermore, their association with the risk of developing TB after adjusting for socioeconomic status, between January 1, 2002 and December 31, 2006, was investigated.\n\nResults\nBetween January 1, 2002 and December 31, 2006, a total of 41,185 TB cases were reported in Seoul. Concentrations of PM10, O3, CO, and NO2 were not associated with TB incidence in males or females. However, the interquartile increase in SO2 concentration was associated with a 7% increment in TB incidence (relative risk [RR], 1.07; 95% credible interval [CrI], 1.03 to 1.12) in males but not in females (RR, 1.02; 95% CrI, 0.98 to 1.07).\n\nConclusions\nLong-term exposure to ambient SO2 increased the risk of TB in males.","container-title":"The Korean Journal of Internal Medicine","DOI":"10.3904/kjim.2014.29.2.183","ISSN":"1226-3303","issue":"2","journalAbbreviation":"Korean J Intern Med","note":"PMID: 24648801\nPMCID: PMC3956988","page":"183-190","source":"PubMed Central","title":"Impact of outdoor air pollution on the incidence of tuberculosis in the Seoul metropolitan area, South Korea","volume":"29","author":[{"family":"Hwang","given":"Seung-sik"},{"family":"Kang","given":"Sungchan"},{"family":"Lee","given":"Ji-Young"},{"family":"Lee","given":"Ji Sun"},{"family":"Kim","given":"Hee Jin"},{"family":"Han","given":"Sung Koo"},{"family":"Yim","given":"Jae-Joon"}],"issued":{"date-parts":[["2014",3]]}},"label":"page"}],"schema":"https://github.com/citation-style-language/schema/raw/master/csl-citation.json"} </w:instrText>
      </w:r>
      <w:r w:rsidR="0056733F">
        <w:rPr>
          <w:iCs/>
          <w:sz w:val="22"/>
          <w:szCs w:val="22"/>
        </w:rPr>
        <w:fldChar w:fldCharType="separate"/>
      </w:r>
      <w:r w:rsidR="001B437E" w:rsidRPr="001B437E">
        <w:rPr>
          <w:sz w:val="22"/>
          <w:lang w:val="en-US"/>
        </w:rPr>
        <w:t>[30–32]</w:t>
      </w:r>
      <w:r w:rsidR="0056733F">
        <w:rPr>
          <w:iCs/>
          <w:sz w:val="22"/>
          <w:szCs w:val="22"/>
        </w:rPr>
        <w:fldChar w:fldCharType="end"/>
      </w:r>
      <w:r w:rsidR="00E24CBC">
        <w:rPr>
          <w:iCs/>
          <w:sz w:val="22"/>
          <w:szCs w:val="22"/>
        </w:rPr>
        <w:t xml:space="preserve">, while </w:t>
      </w:r>
      <w:r>
        <w:rPr>
          <w:iCs/>
          <w:sz w:val="22"/>
          <w:szCs w:val="22"/>
        </w:rPr>
        <w:t>evidence regarding</w:t>
      </w:r>
      <w:r w:rsidR="00E24CBC">
        <w:rPr>
          <w:iCs/>
          <w:sz w:val="22"/>
          <w:szCs w:val="22"/>
        </w:rPr>
        <w:t xml:space="preserve"> the impacts of PM</w:t>
      </w:r>
      <w:r w:rsidR="00E24CBC" w:rsidRPr="004227F1">
        <w:rPr>
          <w:iCs/>
          <w:sz w:val="22"/>
          <w:szCs w:val="22"/>
          <w:vertAlign w:val="subscript"/>
        </w:rPr>
        <w:t>2.5</w:t>
      </w:r>
      <w:r w:rsidR="00E24CBC">
        <w:rPr>
          <w:iCs/>
          <w:sz w:val="22"/>
          <w:szCs w:val="22"/>
        </w:rPr>
        <w:t xml:space="preserve"> on mortality among TB patients </w:t>
      </w:r>
      <w:r>
        <w:rPr>
          <w:iCs/>
          <w:sz w:val="22"/>
          <w:szCs w:val="22"/>
        </w:rPr>
        <w:t>is</w:t>
      </w:r>
      <w:r w:rsidR="00E24CBC">
        <w:rPr>
          <w:iCs/>
          <w:sz w:val="22"/>
          <w:szCs w:val="22"/>
        </w:rPr>
        <w:t xml:space="preserve"> still sparse. </w:t>
      </w:r>
      <w:r w:rsidR="00540D27">
        <w:rPr>
          <w:iCs/>
          <w:sz w:val="22"/>
          <w:szCs w:val="22"/>
        </w:rPr>
        <w:t xml:space="preserve">Furthermore, fewer </w:t>
      </w:r>
      <w:r w:rsidR="001A6238">
        <w:rPr>
          <w:iCs/>
          <w:sz w:val="22"/>
          <w:szCs w:val="22"/>
        </w:rPr>
        <w:t xml:space="preserve">have examined for </w:t>
      </w:r>
      <w:r w:rsidR="00540D27">
        <w:rPr>
          <w:iCs/>
          <w:sz w:val="22"/>
          <w:szCs w:val="22"/>
        </w:rPr>
        <w:lastRenderedPageBreak/>
        <w:t>MDR-TB and how greenness</w:t>
      </w:r>
      <w:r w:rsidR="008931E1">
        <w:rPr>
          <w:iCs/>
          <w:sz w:val="22"/>
          <w:szCs w:val="22"/>
        </w:rPr>
        <w:t xml:space="preserve"> </w:t>
      </w:r>
      <w:r w:rsidR="001A6238">
        <w:rPr>
          <w:iCs/>
          <w:sz w:val="22"/>
          <w:szCs w:val="22"/>
        </w:rPr>
        <w:t>modif</w:t>
      </w:r>
      <w:r w:rsidR="008931E1">
        <w:rPr>
          <w:iCs/>
          <w:sz w:val="22"/>
          <w:szCs w:val="22"/>
        </w:rPr>
        <w:t>ies</w:t>
      </w:r>
      <w:r w:rsidR="001A6238">
        <w:rPr>
          <w:iCs/>
          <w:sz w:val="22"/>
          <w:szCs w:val="22"/>
        </w:rPr>
        <w:t xml:space="preserve"> the risk of </w:t>
      </w:r>
      <w:r w:rsidR="00540D27">
        <w:rPr>
          <w:iCs/>
          <w:sz w:val="22"/>
          <w:szCs w:val="22"/>
        </w:rPr>
        <w:t>PM</w:t>
      </w:r>
      <w:r w:rsidR="00540D27" w:rsidRPr="00540D27">
        <w:rPr>
          <w:iCs/>
          <w:sz w:val="22"/>
          <w:szCs w:val="22"/>
          <w:vertAlign w:val="subscript"/>
        </w:rPr>
        <w:t>2.5</w:t>
      </w:r>
      <w:r w:rsidR="001A6238">
        <w:rPr>
          <w:iCs/>
          <w:sz w:val="22"/>
          <w:szCs w:val="22"/>
        </w:rPr>
        <w:t>-related mortality</w:t>
      </w:r>
      <w:r w:rsidR="00540D27">
        <w:rPr>
          <w:iCs/>
          <w:sz w:val="22"/>
          <w:szCs w:val="22"/>
        </w:rPr>
        <w:t xml:space="preserve">. </w:t>
      </w:r>
      <w:r w:rsidR="001941B9">
        <w:rPr>
          <w:iCs/>
          <w:sz w:val="22"/>
          <w:szCs w:val="22"/>
        </w:rPr>
        <w:t xml:space="preserve">Our study found </w:t>
      </w:r>
      <w:r w:rsidR="00BB0DB0">
        <w:rPr>
          <w:iCs/>
          <w:sz w:val="22"/>
          <w:szCs w:val="22"/>
        </w:rPr>
        <w:t xml:space="preserve">a </w:t>
      </w:r>
      <w:r w:rsidR="00576C6F">
        <w:rPr>
          <w:iCs/>
          <w:sz w:val="22"/>
          <w:szCs w:val="22"/>
        </w:rPr>
        <w:t>70.2</w:t>
      </w:r>
      <w:r w:rsidR="00BB0DB0">
        <w:rPr>
          <w:iCs/>
          <w:sz w:val="22"/>
          <w:szCs w:val="22"/>
        </w:rPr>
        <w:t xml:space="preserve">% increase in mortality per 10 </w:t>
      </w:r>
      <w:r w:rsidR="00BB0DB0">
        <w:rPr>
          <w:iCs/>
          <w:sz w:val="22"/>
          <w:szCs w:val="22"/>
        </w:rPr>
        <w:sym w:font="Symbol" w:char="F06D"/>
      </w:r>
      <w:r w:rsidR="00BB0DB0">
        <w:rPr>
          <w:iCs/>
          <w:sz w:val="22"/>
          <w:szCs w:val="22"/>
        </w:rPr>
        <w:t>g/m</w:t>
      </w:r>
      <w:r w:rsidR="00BB0DB0" w:rsidRPr="00576C6F">
        <w:rPr>
          <w:iCs/>
          <w:sz w:val="22"/>
          <w:szCs w:val="22"/>
          <w:vertAlign w:val="superscript"/>
        </w:rPr>
        <w:t>3</w:t>
      </w:r>
      <w:r w:rsidR="00BB0DB0">
        <w:rPr>
          <w:iCs/>
          <w:sz w:val="22"/>
          <w:szCs w:val="22"/>
        </w:rPr>
        <w:t xml:space="preserve"> increase in PM</w:t>
      </w:r>
      <w:r w:rsidR="00BB0DB0" w:rsidRPr="00AA255B">
        <w:rPr>
          <w:iCs/>
          <w:sz w:val="22"/>
          <w:szCs w:val="22"/>
          <w:vertAlign w:val="subscript"/>
        </w:rPr>
        <w:t>2.5</w:t>
      </w:r>
      <w:r w:rsidR="008931E1">
        <w:rPr>
          <w:iCs/>
          <w:sz w:val="22"/>
          <w:szCs w:val="22"/>
        </w:rPr>
        <w:t xml:space="preserve"> exposure,</w:t>
      </w:r>
      <w:r w:rsidR="00576C6F">
        <w:rPr>
          <w:iCs/>
          <w:sz w:val="22"/>
          <w:szCs w:val="22"/>
        </w:rPr>
        <w:t xml:space="preserve"> </w:t>
      </w:r>
      <w:r w:rsidR="008931E1">
        <w:rPr>
          <w:iCs/>
          <w:sz w:val="22"/>
          <w:szCs w:val="22"/>
        </w:rPr>
        <w:t xml:space="preserve">after </w:t>
      </w:r>
      <w:r w:rsidR="00576C6F">
        <w:rPr>
          <w:iCs/>
          <w:sz w:val="22"/>
          <w:szCs w:val="22"/>
        </w:rPr>
        <w:t>adjusting for O</w:t>
      </w:r>
      <w:r w:rsidR="00576C6F" w:rsidRPr="00576C6F">
        <w:rPr>
          <w:iCs/>
          <w:sz w:val="22"/>
          <w:szCs w:val="22"/>
          <w:vertAlign w:val="subscript"/>
        </w:rPr>
        <w:t>x</w:t>
      </w:r>
      <w:r w:rsidR="00576C6F">
        <w:rPr>
          <w:iCs/>
          <w:sz w:val="22"/>
          <w:szCs w:val="22"/>
        </w:rPr>
        <w:t xml:space="preserve">, in the full MDR-TB </w:t>
      </w:r>
      <w:r w:rsidR="008931E1">
        <w:rPr>
          <w:iCs/>
          <w:sz w:val="22"/>
          <w:szCs w:val="22"/>
        </w:rPr>
        <w:t>cohort</w:t>
      </w:r>
      <w:r w:rsidR="00576C6F">
        <w:rPr>
          <w:iCs/>
          <w:sz w:val="22"/>
          <w:szCs w:val="22"/>
        </w:rPr>
        <w:t xml:space="preserve">. </w:t>
      </w:r>
      <w:r w:rsidR="00AA255B">
        <w:rPr>
          <w:iCs/>
          <w:sz w:val="22"/>
          <w:szCs w:val="22"/>
        </w:rPr>
        <w:t xml:space="preserve">Greater </w:t>
      </w:r>
      <w:r w:rsidR="00F638E7">
        <w:rPr>
          <w:iCs/>
          <w:sz w:val="22"/>
          <w:szCs w:val="22"/>
        </w:rPr>
        <w:t xml:space="preserve">exposure to </w:t>
      </w:r>
      <w:r w:rsidR="00AA255B">
        <w:rPr>
          <w:iCs/>
          <w:sz w:val="22"/>
          <w:szCs w:val="22"/>
        </w:rPr>
        <w:t>greenness lower</w:t>
      </w:r>
      <w:r w:rsidR="00E941A7">
        <w:rPr>
          <w:iCs/>
          <w:sz w:val="22"/>
          <w:szCs w:val="22"/>
        </w:rPr>
        <w:t>ed</w:t>
      </w:r>
      <w:r w:rsidR="00AA255B">
        <w:rPr>
          <w:iCs/>
          <w:sz w:val="22"/>
          <w:szCs w:val="22"/>
        </w:rPr>
        <w:t xml:space="preserve"> the impacts of</w:t>
      </w:r>
      <w:r w:rsidR="003D4D4B">
        <w:rPr>
          <w:iCs/>
          <w:sz w:val="22"/>
          <w:szCs w:val="22"/>
        </w:rPr>
        <w:t xml:space="preserve"> </w:t>
      </w:r>
      <w:r w:rsidR="00AA255B">
        <w:rPr>
          <w:iCs/>
          <w:sz w:val="22"/>
          <w:szCs w:val="22"/>
        </w:rPr>
        <w:t>PM</w:t>
      </w:r>
      <w:r w:rsidR="00AA255B" w:rsidRPr="00AA255B">
        <w:rPr>
          <w:iCs/>
          <w:sz w:val="22"/>
          <w:szCs w:val="22"/>
          <w:vertAlign w:val="subscript"/>
        </w:rPr>
        <w:t>2.5</w:t>
      </w:r>
      <w:r w:rsidR="00AA255B">
        <w:rPr>
          <w:iCs/>
          <w:sz w:val="22"/>
          <w:szCs w:val="22"/>
        </w:rPr>
        <w:t xml:space="preserve"> for untreated</w:t>
      </w:r>
      <w:r w:rsidR="007E17A7">
        <w:rPr>
          <w:iCs/>
          <w:sz w:val="22"/>
          <w:szCs w:val="22"/>
        </w:rPr>
        <w:t xml:space="preserve"> and</w:t>
      </w:r>
      <w:r w:rsidR="00AA255B">
        <w:rPr>
          <w:iCs/>
          <w:sz w:val="22"/>
          <w:szCs w:val="22"/>
        </w:rPr>
        <w:t xml:space="preserve"> primary resistance</w:t>
      </w:r>
      <w:r w:rsidR="007E17A7">
        <w:rPr>
          <w:iCs/>
          <w:sz w:val="22"/>
          <w:szCs w:val="22"/>
        </w:rPr>
        <w:t xml:space="preserve"> </w:t>
      </w:r>
      <w:r w:rsidR="00AA255B">
        <w:rPr>
          <w:iCs/>
          <w:sz w:val="22"/>
          <w:szCs w:val="22"/>
        </w:rPr>
        <w:t>patient groups, except those</w:t>
      </w:r>
      <w:r w:rsidR="003D4D4B">
        <w:rPr>
          <w:iCs/>
          <w:sz w:val="22"/>
          <w:szCs w:val="22"/>
        </w:rPr>
        <w:t xml:space="preserve"> taking</w:t>
      </w:r>
      <w:r w:rsidR="00AA255B">
        <w:rPr>
          <w:iCs/>
          <w:sz w:val="22"/>
          <w:szCs w:val="22"/>
        </w:rPr>
        <w:t xml:space="preserve"> MDR-TB treatment. </w:t>
      </w:r>
      <w:r w:rsidR="00BA0ABD">
        <w:rPr>
          <w:iCs/>
          <w:sz w:val="22"/>
          <w:szCs w:val="22"/>
        </w:rPr>
        <w:t>Our data suggested that l</w:t>
      </w:r>
      <w:r w:rsidR="00E941A7">
        <w:rPr>
          <w:iCs/>
          <w:sz w:val="22"/>
          <w:szCs w:val="22"/>
        </w:rPr>
        <w:t>iving in lower greenery neighborhoods increased risks of mortality associated with PM</w:t>
      </w:r>
      <w:r w:rsidR="00E941A7" w:rsidRPr="00E941A7">
        <w:rPr>
          <w:iCs/>
          <w:sz w:val="22"/>
          <w:szCs w:val="22"/>
          <w:vertAlign w:val="subscript"/>
        </w:rPr>
        <w:t>2.5</w:t>
      </w:r>
      <w:r w:rsidR="00E54FEA">
        <w:rPr>
          <w:iCs/>
          <w:sz w:val="22"/>
          <w:szCs w:val="22"/>
        </w:rPr>
        <w:t>, particularly in elderly (</w:t>
      </w:r>
      <w:r w:rsidR="00E54FEA">
        <w:rPr>
          <w:rFonts w:hint="eastAsia"/>
          <w:iCs/>
          <w:sz w:val="22"/>
          <w:szCs w:val="22"/>
        </w:rPr>
        <w:t>≥</w:t>
      </w:r>
      <w:r w:rsidR="00E54FEA">
        <w:rPr>
          <w:iCs/>
          <w:sz w:val="22"/>
          <w:szCs w:val="22"/>
        </w:rPr>
        <w:t xml:space="preserve"> 60 years), male, and patients from urban</w:t>
      </w:r>
      <w:r w:rsidR="001F0952">
        <w:rPr>
          <w:iCs/>
          <w:sz w:val="22"/>
          <w:szCs w:val="22"/>
        </w:rPr>
        <w:t xml:space="preserve"> areas</w:t>
      </w:r>
      <w:r w:rsidR="00BA0ABD">
        <w:rPr>
          <w:iCs/>
          <w:sz w:val="22"/>
          <w:szCs w:val="22"/>
        </w:rPr>
        <w:t>, while it did not show that greenness attenuated the effect of PM</w:t>
      </w:r>
      <w:r w:rsidR="00BA0ABD" w:rsidRPr="00BA0ABD">
        <w:rPr>
          <w:iCs/>
          <w:sz w:val="22"/>
          <w:szCs w:val="22"/>
          <w:vertAlign w:val="subscript"/>
        </w:rPr>
        <w:t>2.5</w:t>
      </w:r>
      <w:r w:rsidR="00BA0ABD">
        <w:rPr>
          <w:iCs/>
          <w:sz w:val="22"/>
          <w:szCs w:val="22"/>
        </w:rPr>
        <w:t xml:space="preserve"> in the province of Ningxia. </w:t>
      </w:r>
      <w:r w:rsidR="00427555">
        <w:rPr>
          <w:iCs/>
          <w:sz w:val="22"/>
          <w:szCs w:val="22"/>
        </w:rPr>
        <w:t xml:space="preserve">These findings are important because they examined the effects of inhaled PM on mortality after infecting with MDR-TB and the effect modification by greenness, which are still unclear to us. </w:t>
      </w:r>
    </w:p>
    <w:p w14:paraId="0E694D3F" w14:textId="77777777" w:rsidR="00F048AD" w:rsidRDefault="00F048AD" w:rsidP="007719C5">
      <w:pPr>
        <w:spacing w:line="480" w:lineRule="auto"/>
        <w:rPr>
          <w:iCs/>
          <w:sz w:val="22"/>
          <w:szCs w:val="22"/>
        </w:rPr>
      </w:pPr>
    </w:p>
    <w:p w14:paraId="22DAB19E" w14:textId="3F465ACE" w:rsidR="0056733F" w:rsidRDefault="00291C9A" w:rsidP="007719C5">
      <w:pPr>
        <w:spacing w:line="480" w:lineRule="auto"/>
        <w:rPr>
          <w:iCs/>
          <w:sz w:val="22"/>
          <w:szCs w:val="22"/>
        </w:rPr>
      </w:pPr>
      <w:r>
        <w:rPr>
          <w:iCs/>
          <w:sz w:val="22"/>
          <w:szCs w:val="22"/>
        </w:rPr>
        <w:t xml:space="preserve">Our study provides reliable exposure measurements </w:t>
      </w:r>
      <w:r w:rsidR="00AA0476">
        <w:rPr>
          <w:iCs/>
          <w:sz w:val="22"/>
          <w:szCs w:val="22"/>
        </w:rPr>
        <w:t>as we excluded migrant patients</w:t>
      </w:r>
      <w:r w:rsidR="008215C6">
        <w:rPr>
          <w:iCs/>
          <w:sz w:val="22"/>
          <w:szCs w:val="22"/>
        </w:rPr>
        <w:t xml:space="preserve"> and</w:t>
      </w:r>
      <w:r w:rsidR="00AA0476">
        <w:rPr>
          <w:iCs/>
          <w:sz w:val="22"/>
          <w:szCs w:val="22"/>
        </w:rPr>
        <w:t xml:space="preserve"> permanent resident patients </w:t>
      </w:r>
      <w:r w:rsidR="008215C6">
        <w:rPr>
          <w:iCs/>
          <w:sz w:val="22"/>
          <w:szCs w:val="22"/>
        </w:rPr>
        <w:t>without</w:t>
      </w:r>
      <w:r w:rsidR="00AA0476">
        <w:rPr>
          <w:iCs/>
          <w:sz w:val="22"/>
          <w:szCs w:val="22"/>
        </w:rPr>
        <w:t xml:space="preserve"> residential information</w:t>
      </w:r>
      <w:r w:rsidR="008215C6">
        <w:rPr>
          <w:iCs/>
          <w:sz w:val="22"/>
          <w:szCs w:val="22"/>
        </w:rPr>
        <w:t>,</w:t>
      </w:r>
      <w:r w:rsidR="00B613A2">
        <w:rPr>
          <w:iCs/>
          <w:sz w:val="22"/>
          <w:szCs w:val="22"/>
        </w:rPr>
        <w:t xml:space="preserve"> air pollutant or NDVI data. </w:t>
      </w:r>
      <w:r w:rsidR="00A21249">
        <w:rPr>
          <w:iCs/>
          <w:sz w:val="22"/>
          <w:szCs w:val="22"/>
        </w:rPr>
        <w:t xml:space="preserve">All 2,305 patients included in the analyses have permanent home addresses registered in the TB surveillance systems of the </w:t>
      </w:r>
      <w:r w:rsidR="00336CC6">
        <w:rPr>
          <w:iCs/>
          <w:sz w:val="22"/>
          <w:szCs w:val="22"/>
        </w:rPr>
        <w:t>p</w:t>
      </w:r>
      <w:r w:rsidR="00A21249">
        <w:rPr>
          <w:iCs/>
          <w:sz w:val="22"/>
          <w:szCs w:val="22"/>
        </w:rPr>
        <w:t xml:space="preserve">rovincial CDC. Our results showed that the associations between </w:t>
      </w:r>
      <w:r w:rsidR="00B625E4">
        <w:rPr>
          <w:iCs/>
          <w:sz w:val="22"/>
          <w:szCs w:val="22"/>
        </w:rPr>
        <w:t>PM</w:t>
      </w:r>
      <w:r w:rsidR="00B625E4" w:rsidRPr="00B625E4">
        <w:rPr>
          <w:iCs/>
          <w:sz w:val="22"/>
          <w:szCs w:val="22"/>
          <w:vertAlign w:val="subscript"/>
        </w:rPr>
        <w:t>2.5</w:t>
      </w:r>
      <w:r w:rsidR="00B625E4">
        <w:rPr>
          <w:iCs/>
          <w:sz w:val="22"/>
          <w:szCs w:val="22"/>
        </w:rPr>
        <w:t xml:space="preserve"> and mortality w</w:t>
      </w:r>
      <w:r w:rsidR="00A21249">
        <w:rPr>
          <w:iCs/>
          <w:sz w:val="22"/>
          <w:szCs w:val="22"/>
        </w:rPr>
        <w:t>ere</w:t>
      </w:r>
      <w:r w:rsidR="00B625E4">
        <w:rPr>
          <w:iCs/>
          <w:sz w:val="22"/>
          <w:szCs w:val="22"/>
        </w:rPr>
        <w:t xml:space="preserve"> consistent for both the full cohort and the three different greenness levels as well. </w:t>
      </w:r>
    </w:p>
    <w:p w14:paraId="518A5BA0" w14:textId="77777777" w:rsidR="0056733F" w:rsidRDefault="0056733F" w:rsidP="007719C5">
      <w:pPr>
        <w:spacing w:line="480" w:lineRule="auto"/>
      </w:pPr>
    </w:p>
    <w:p w14:paraId="62D3CF80" w14:textId="63C6F7E4" w:rsidR="00AB51A4" w:rsidRDefault="00A21249" w:rsidP="007719C5">
      <w:pPr>
        <w:spacing w:line="480" w:lineRule="auto"/>
        <w:rPr>
          <w:sz w:val="22"/>
          <w:szCs w:val="22"/>
        </w:rPr>
      </w:pPr>
      <w:r w:rsidRPr="0056733F">
        <w:rPr>
          <w:sz w:val="22"/>
          <w:szCs w:val="22"/>
        </w:rPr>
        <w:t>The adverse effects of ambient PM</w:t>
      </w:r>
      <w:r w:rsidRPr="003F44E6">
        <w:rPr>
          <w:sz w:val="22"/>
          <w:szCs w:val="22"/>
          <w:vertAlign w:val="subscript"/>
        </w:rPr>
        <w:t>2.</w:t>
      </w:r>
      <w:proofErr w:type="gramStart"/>
      <w:r w:rsidRPr="003F44E6">
        <w:rPr>
          <w:sz w:val="22"/>
          <w:szCs w:val="22"/>
          <w:vertAlign w:val="subscript"/>
        </w:rPr>
        <w:t xml:space="preserve">5 </w:t>
      </w:r>
      <w:r w:rsidR="009069AB">
        <w:rPr>
          <w:sz w:val="22"/>
          <w:szCs w:val="22"/>
          <w:vertAlign w:val="subscript"/>
        </w:rPr>
        <w:t xml:space="preserve"> </w:t>
      </w:r>
      <w:r w:rsidRPr="0056733F">
        <w:rPr>
          <w:sz w:val="22"/>
          <w:szCs w:val="22"/>
        </w:rPr>
        <w:t>against</w:t>
      </w:r>
      <w:proofErr w:type="gramEnd"/>
      <w:r w:rsidRPr="0056733F">
        <w:rPr>
          <w:sz w:val="22"/>
          <w:szCs w:val="22"/>
        </w:rPr>
        <w:t xml:space="preserve"> TB/MDR-TB are biologically plausible. </w:t>
      </w:r>
      <w:r w:rsidR="001E76F0">
        <w:rPr>
          <w:sz w:val="22"/>
          <w:szCs w:val="22"/>
        </w:rPr>
        <w:t xml:space="preserve"> Air pollution has detrimental impact on </w:t>
      </w:r>
      <w:r w:rsidR="007A65D8">
        <w:rPr>
          <w:sz w:val="22"/>
          <w:szCs w:val="22"/>
        </w:rPr>
        <w:t xml:space="preserve">lung function and </w:t>
      </w:r>
      <w:r w:rsidR="001E76F0">
        <w:rPr>
          <w:sz w:val="22"/>
          <w:szCs w:val="22"/>
        </w:rPr>
        <w:t>immune system</w:t>
      </w:r>
      <w:r w:rsidR="007A65D8">
        <w:rPr>
          <w:sz w:val="22"/>
          <w:szCs w:val="22"/>
        </w:rPr>
        <w:t xml:space="preserve"> through decreasing macrophage functioning, promoting </w:t>
      </w:r>
      <w:r w:rsidR="000C395D">
        <w:rPr>
          <w:sz w:val="22"/>
          <w:szCs w:val="22"/>
        </w:rPr>
        <w:t xml:space="preserve">oxidative stress and inflammation, and increasing reactivity and enhanced vulnerability towards pathogens </w:t>
      </w:r>
      <w:r w:rsidR="002C66DA">
        <w:rPr>
          <w:sz w:val="22"/>
          <w:szCs w:val="22"/>
        </w:rPr>
        <w:fldChar w:fldCharType="begin"/>
      </w:r>
      <w:r w:rsidR="001B437E">
        <w:rPr>
          <w:sz w:val="22"/>
          <w:szCs w:val="22"/>
        </w:rPr>
        <w:instrText xml:space="preserve"> ADDIN ZOTERO_ITEM CSL_CITATION {"citationID":"ctyJcymO","properties":{"formattedCitation":"[33, 34]","plainCitation":"[33, 34]","noteIndex":0},"citationItems":[{"id":226,"uris":["http://zotero.org/users/4920080/items/HBX5R9UH"],"uri":["http://zotero.org/users/4920080/items/HBX5R9UH"],"itemData":{"id":226,"type":"article-journal","abstract":"Mounting evidence suggests that air pollution contributes to the large global burden of respiratory and allergic diseases, including asthma, chronic obstructive pulmonary disease, pneumonia, and possibly tuberculosis. Although associations between air pollution and respiratory disease are complex, recent epidemiologic studies have led to an increased recognition of the emerging importance of traffic-related air pollution in both developed and less-developed countries, as well as the continued importance of emissions from domestic fires burning biomass fuels, primarily in the less-developed world. Emissions from these sources lead to personal exposures to complex mixtures of air pollutants that change rapidly in space and time because of varying emission rates, distances from source, ventilation rates, and other factors. Although the high degree of variability in personal exposure to pollutants from these sources remains a challenge, newer methods for measuring and modeling these exposures are beginning to unravel complex associations with asthma and other respiratory tract diseases. These studies indicate that air pollution from these sources is a major preventable cause of increased incidence and exacerbation of respiratory disease. Physicians can help to reduce the risk of adverse respiratory effects of exposure to biomass and traffic air pollutants by promoting awareness and supporting individual and community-level interventions.","container-title":"The Journal of Allergy and Clinical Immunology","DOI":"10.1016/j.jaci.2011.11.021","ISSN":"1097-6825","issue":"1","journalAbbreviation":"J. Allergy Clin. Immunol.","language":"eng","note":"PMID: 22196520\nPMCID: PMC3272333","page":"3-11; quiz 12-13","source":"PubMed","title":"Respiratory health effects of air pollution: update on biomass smoke and traffic pollution","title-short":"Respiratory health effects of air pollution","volume":"129","author":[{"family":"Laumbach","given":"Robert J."},{"family":"Kipen","given":"Howard M."}],"issued":{"date-parts":[["2012",1]]}}},{"id":"u3aZZJWI/P4sxzKDo","uris":["http://zotero.org/users/4920080/items/K3MDKNZI"],"uri":["http://zotero.org/users/4920080/items/K3MDKNZI"],"itemData":{"id":1028,"type":"article-journal","abstract":"Interactions between exposure to ambient air pollutants and respiratory pathogens have been shown to modify respiratory immune responses. Emerging data suggest key roles for Toll-like receptor (TLR) and nucleotide-binding oligomerization domain-like receptor (NLR) signaling in pathogen-induced immune responses. Similarly, immune responses elicited by exposure to air pollutants are mediated by specific TLR- and NLR-dependent mechanisms. This review article will summarize current knowledge about how air pollutants modify TLR- and NLR-dependent signaling and host defense responses in the lung.","container-title":"The Journal of Allergy and Clinical Immunology","DOI":"10.1016/j.jaci.2011.11.004","ISSN":"1097-6825","issue":"1","journalAbbreviation":"J. Allergy Clin. Immunol.","language":"eng","note":"PMID: 22196521\nPMCID: PMC4341993","page":"14-24; quiz 25-26","source":"PubMed","title":"Effects of air pollutants on innate immunity: the role of Toll-like receptors and nucleotide-binding oligomerization domain-like receptors","title-short":"Effects of air pollutants on innate immunity","volume":"129","author":[{"family":"Bauer","given":"Rebecca N."},{"family":"Diaz-Sanchez","given":"David"},{"family":"Jaspers","given":"Ilona"}],"issued":{"date-parts":[["2012",1]]}}}],"schema":"https://github.com/citation-style-language/schema/raw/master/csl-citation.json"} </w:instrText>
      </w:r>
      <w:r w:rsidR="002C66DA">
        <w:rPr>
          <w:sz w:val="22"/>
          <w:szCs w:val="22"/>
        </w:rPr>
        <w:fldChar w:fldCharType="separate"/>
      </w:r>
      <w:r w:rsidR="001B437E">
        <w:rPr>
          <w:noProof/>
          <w:sz w:val="22"/>
          <w:szCs w:val="22"/>
        </w:rPr>
        <w:t>[33, 34]</w:t>
      </w:r>
      <w:r w:rsidR="002C66DA">
        <w:rPr>
          <w:sz w:val="22"/>
          <w:szCs w:val="22"/>
        </w:rPr>
        <w:fldChar w:fldCharType="end"/>
      </w:r>
      <w:r w:rsidR="000C395D">
        <w:rPr>
          <w:sz w:val="22"/>
          <w:szCs w:val="22"/>
        </w:rPr>
        <w:t xml:space="preserve">.  The oxidative stress caused by PM could damage the epithelium of the airways and reduce immune response against </w:t>
      </w:r>
      <w:r w:rsidR="000C395D" w:rsidRPr="007A65D8">
        <w:rPr>
          <w:i/>
          <w:sz w:val="22"/>
          <w:szCs w:val="22"/>
        </w:rPr>
        <w:t>M. tuberculosis</w:t>
      </w:r>
      <w:r w:rsidR="008E5FF1">
        <w:rPr>
          <w:sz w:val="22"/>
          <w:szCs w:val="22"/>
        </w:rPr>
        <w:t xml:space="preserve"> </w:t>
      </w:r>
      <w:r w:rsidR="003F44E6">
        <w:rPr>
          <w:sz w:val="22"/>
          <w:szCs w:val="22"/>
        </w:rPr>
        <w:fldChar w:fldCharType="begin"/>
      </w:r>
      <w:r w:rsidR="001B437E">
        <w:rPr>
          <w:sz w:val="22"/>
          <w:szCs w:val="22"/>
        </w:rPr>
        <w:instrText xml:space="preserve"> ADDIN ZOTERO_ITEM CSL_CITATION {"citationID":"vNAWNSJc","properties":{"formattedCitation":"[1, 35]","plainCitation":"[1, 35]","noteIndex":0},"citationItems":[{"id":254,"uris":["http://zotero.org/users/4920080/items/DDZDGZZ5"],"uri":["http://zotero.org/users/4920080/items/DDZDGZZ5"],"itemData":{"id":254,"type":"article-journal","abstract":"RATIONALE: Associations between urban (outdoor) airborne particulate matter (PM) exposure and TB and potential biological mechanisms are poorly explored.\nOBJECTIVES: To examine whether in vivo exposure to urban outdoor PM in Mexico City and in vitro exposure to urban outdoor PM2.5 (&lt; 2.5 µm median aerodynamic diameter) alters human host immune cell responses to Mycobacterium tuberculosis.\nMETHODS: Cellular toxicity (flow cytometry, proliferation assay (MTS assay)), M. tuberculosis and PM2.5 phagocytosis (microscopy), cytokine-producing cells (Enzyme-linked immune absorbent spot (ELISPOT)), and signalling pathway markers (western blot) were examined in bronchoalveolar cells (BAC) and peripheral blood mononuclear cells (PBMC) from healthy, non-smoking, residents of Mexico City (n=35; 13 female, 22 male). In vivo-acquired PM burden in alveolar macrophages (AM) was measured by digital image analysis.\nMEASUREMENTS AND MAIN RESULTS: In vitro exposure of AM to PM2.5 did not affect M. tuberculosis phagocytosis. High in vivo-acquired AM PM burden reduced constitutive, M. tuberculosis and PM-induced interleukin-1β production in freshly isolated BAC but not in autologous PBMC while it reduced constitutive production of tumour necrosis factor-alpha in both BAC and PBMC. Further, PM burden was positively correlated with constitutive, PM, M. tuberculosis and purified protein derivative (PPD)-induced interferon gamma (IFN-γ) in BAC, and negatively correlated with PPD-induced IFN-γ in PBMC.\nCONCLUSIONS: Inhalation exposure to urban air pollution PM impairs important components of the protective human lung and systemic immune response against M. tuberculosis. PM load in AM is correlated with altered M. tuberculosis-induced cytokine production in the lung and systemic compartments. Chronic PM exposure with high constitutive expression of proinflammatory cytokines results in relative cellular unresponsiveness.","container-title":"Thorax","DOI":"10.1136/thoraxjnl-2018-212529","ISSN":"1468-3296","issue":"7","journalAbbreviation":"Thorax","language":"eng","note":"PMID: 31036772\nPMCID: PMC7162557","page":"675-683","source":"PubMed","title":"Urban airborne particle exposure impairs human lung and blood Mycobacterium tuberculosis immunity","volume":"74","author":[{"family":"Torres","given":"Martha"},{"family":"Carranza","given":"Claudia"},{"family":"Sarkar","given":"Srijata"},{"family":"Gonzalez","given":"Yolanda"},{"family":"Osornio Vargas","given":"Alvaro"},{"family":"Black","given":"Kathleen"},{"family":"Meng","given":"Qingyu"},{"family":"Quintana-Belmares","given":"Raul"},{"family":"Hernandez","given":"Martha"},{"family":"Angeles Garcia","given":"Jose Juan F."},{"family":"Páramo-Figueroa","given":"Victor Hugo"},{"family":"Iñiguez-Garcia","given":"Marco Antonio"},{"family":"Flores","given":"Jose L."},{"family":"Zhang","given":"Junfeng Jim"},{"family":"Gardner","given":"Carol R."},{"family":"Ohman-Strickland","given":"Pamela"},{"family":"Schwander","given":"Stephan"}],"issued":{"date-parts":[["2019"]]}}},{"id":224,"uris":["http://zotero.org/users/4920080/items/ZVGGNWCS"],"uri":["http://zotero.org/users/4920080/items/ZVGGNWCS"],"itemData":{"id":224,"type":"article-journal","abstract":"Epidemiological studies suggest that chronic exposure to air pollution increases susceptibility to respiratory infections, including tuberculosis in humans. A possible link between particulate air pollutant exposure and antimycobacterial immunity has not been explored in human primary immune cells. We hypothesized that exposure to diesel exhaust particles (DEP), a major component of urban fine particulate matter, suppresses antimycobacterial human immune effector cell functions by modulating TLR-signaling pathways and NF-κB activation. We show that DEP and H37Ra, an avirulent laboratory strain of Mycobacterium tuberculosis, were both taken up by the same peripheral human blood monocytes. To examine the effects of DEP on M. tuberculosis-induced production of cytokines, PBMC were stimulated with DEP and M. tuberculosis or purified protein derivative. The production of M. tuberculosis and purified protein derivative-induced IFN-γ, TNF-α, IL-1β, and IL-6 was reduced in a DEP dose-dependent manner. In contrast, the production of anti-inflammatory IL-10 remained unchanged. Furthermore, DEP stimulation prior to M. tuberculosis infection altered the expression of TLR3, -4, -7, and -10 mRNAs and of a subset of M. tuberculosis-induced host genes including inhibition of expression of many NF-κB (e.g., CSF3, IFNG, IFNA, IFNB, IL1A, IL6, and NFKBIA) and IFN regulatory factor (e.g., IFNG, IFNA1, IFNB1, and CXCL10) pathway target genes. We propose that DEP downregulate M. tuberculosis-induced host gene expression via MyD88-dependent (IL6, IL1A, and PTGS2) as well as MyD88-independent (IFNA, IFNB) pathways. Prestimulation of PBMC with DEP suppressed the expression of proinflammatory mediators upon M. tuberculosis infection, inducing a hyporesponsive cellular state. Therefore, DEP alters crucial components of antimycobacterial host immune responses, providing a possible mechanism by which air pollutants alter antimicrobial immunity.","container-title":"The Journal of Immunology","DOI":"10.4049/jimmunol.1101380","ISSN":"0022-1767, 1550-6606","issue":"6","language":"en","note":"publisher: American Association of Immunologists\nsection: HOST DEFENSE\nPMID: 22345648","page":"2778-2793","source":"www.jimmunol.org","title":"Suppression of the NF-κB Pathway by Diesel Exhaust Particles Impairs Human Antimycobacterial Immunity","volume":"188","author":[{"family":"Sarkar","given":"Srijata"},{"family":"Song","given":"Youngmia"},{"family":"Sarkar","given":"Somak"},{"family":"Kipen","given":"Howard M."},{"family":"Laumbach","given":"Robert J."},{"family":"Zhang","given":"Junfeng"},{"family":"Strickland","given":"Pamela A. Ohman"},{"family":"Gardner","given":"Carol R."},{"family":"Schwander","given":"Stephan"}],"issued":{"date-parts":[["2012",3,15]]}}}],"schema":"https://github.com/citation-style-language/schema/raw/master/csl-citation.json"} </w:instrText>
      </w:r>
      <w:r w:rsidR="003F44E6">
        <w:rPr>
          <w:sz w:val="22"/>
          <w:szCs w:val="22"/>
        </w:rPr>
        <w:fldChar w:fldCharType="separate"/>
      </w:r>
      <w:r w:rsidR="001B437E">
        <w:rPr>
          <w:noProof/>
          <w:sz w:val="22"/>
          <w:szCs w:val="22"/>
        </w:rPr>
        <w:t>[1, 35]</w:t>
      </w:r>
      <w:r w:rsidR="003F44E6">
        <w:rPr>
          <w:sz w:val="22"/>
          <w:szCs w:val="22"/>
        </w:rPr>
        <w:fldChar w:fldCharType="end"/>
      </w:r>
      <w:r w:rsidR="000C395D">
        <w:rPr>
          <w:i/>
          <w:sz w:val="22"/>
          <w:szCs w:val="22"/>
        </w:rPr>
        <w:t xml:space="preserve">. </w:t>
      </w:r>
      <w:r w:rsidR="000C395D">
        <w:rPr>
          <w:sz w:val="22"/>
          <w:szCs w:val="22"/>
        </w:rPr>
        <w:t xml:space="preserve"> Inflammation induction and particle deposits in the damaged lungs could </w:t>
      </w:r>
      <w:r w:rsidR="000C0A12">
        <w:rPr>
          <w:sz w:val="22"/>
          <w:szCs w:val="22"/>
        </w:rPr>
        <w:t xml:space="preserve">cause </w:t>
      </w:r>
      <w:r w:rsidR="000C395D">
        <w:rPr>
          <w:sz w:val="22"/>
          <w:szCs w:val="22"/>
        </w:rPr>
        <w:t>further reduction</w:t>
      </w:r>
      <w:r w:rsidR="000C0A12">
        <w:rPr>
          <w:sz w:val="22"/>
          <w:szCs w:val="22"/>
        </w:rPr>
        <w:t xml:space="preserve"> of</w:t>
      </w:r>
      <w:r w:rsidR="000C395D">
        <w:rPr>
          <w:sz w:val="22"/>
          <w:szCs w:val="22"/>
        </w:rPr>
        <w:t xml:space="preserve"> pulmonary function and promote disease progression and deaths, particularly MDR-TB patients. A </w:t>
      </w:r>
      <w:r w:rsidR="00C23CC5">
        <w:rPr>
          <w:sz w:val="22"/>
          <w:szCs w:val="22"/>
        </w:rPr>
        <w:t>Chinese cohort found that exposure to PM</w:t>
      </w:r>
      <w:r w:rsidR="00C23CC5" w:rsidRPr="00C23CC5">
        <w:rPr>
          <w:sz w:val="22"/>
          <w:szCs w:val="22"/>
          <w:vertAlign w:val="subscript"/>
        </w:rPr>
        <w:t>2.5</w:t>
      </w:r>
      <w:r w:rsidR="00C23CC5">
        <w:rPr>
          <w:sz w:val="22"/>
          <w:szCs w:val="22"/>
        </w:rPr>
        <w:t xml:space="preserve"> was associated with a 30%  increase in the risks of all-cause mortality and </w:t>
      </w:r>
      <w:r w:rsidR="002C66DA">
        <w:rPr>
          <w:sz w:val="22"/>
          <w:szCs w:val="22"/>
        </w:rPr>
        <w:t xml:space="preserve">72% increase in the </w:t>
      </w:r>
      <w:r w:rsidR="00C23CC5">
        <w:rPr>
          <w:sz w:val="22"/>
          <w:szCs w:val="22"/>
        </w:rPr>
        <w:t>deaths from TB, respectively</w:t>
      </w:r>
      <w:r w:rsidR="002C66DA">
        <w:rPr>
          <w:sz w:val="22"/>
          <w:szCs w:val="22"/>
        </w:rPr>
        <w:t xml:space="preserve"> </w:t>
      </w:r>
      <w:r w:rsidR="002C66DA">
        <w:rPr>
          <w:sz w:val="22"/>
          <w:szCs w:val="22"/>
        </w:rPr>
        <w:fldChar w:fldCharType="begin"/>
      </w:r>
      <w:r w:rsidR="001B437E">
        <w:rPr>
          <w:sz w:val="22"/>
          <w:szCs w:val="22"/>
        </w:rPr>
        <w:instrText xml:space="preserve"> ADDIN ZOTERO_ITEM CSL_CITATION {"citationID":"D1u3GSYa","properties":{"formattedCitation":"[36]","plainCitation":"[36]","noteIndex":0},"citationItems":[{"id":278,"uris":["http://zotero.org/users/4920080/items/U5AV47G2"],"uri":["http://zotero.org/users/4920080/items/U5AV47G2"],"itemData":{"id":278,"type":"article-journal","abstract":"Background\nEvidence for the relationship between exposure to ambient air pollution and the mortality of tuberculosis (TB) patients is limited.\nMethods\nWe analyzed the association between long-term exposure to particulate matter &lt;2.5μm in diameter (PM2.5) and cause-specific mortality in a Chinese TB patients cohort from 2003 to 2013. Data from the Global Burden of Disease 2013 estimate were used to assess yearly average concentrations of PM2.5 and ozone at the household addresses of participants. Cox regression was used to calculate adjusted hazard ratios (aHRs) and 95% confidence intervals (CIs) for cause-specific mortality, controlling for demographic and other TB-related factors.\nResults\nThere were 4444 eligible subjects, including 891 deaths, over a median follow-up of 2464days. Per an interquartile range increase (2.06μg/m3), multivariable analysis indicated that exposure to PM2.5 was significantly associated with overall mortality (aHR=1.30, 95% CI: 1.19, 1.42), mortality from TB (aHR=1.46, 95% CI: 1.15, 1.85), respiratory cancers (aHR=1.72, 95% CI: 1.36, 2.19), other respiratory diseases (aHR=1.19, 95% CI: 1.02, 1.38), and other cancers (aHR=1.76, 95% CI: 1.33, 2.32).\nConclusions\nLong-term exposure to PM2.5 increases the risk of death from TB and other diseases among TB patients. It suggests that the control of ambient air pollution may help decreasing the mortality caused by TB.","container-title":"Science of The Total Environment","DOI":"10.1016/j.scitotenv.2016.12.128","ISSN":"0048-9697","journalAbbreviation":"Science of The Total Environment","language":"en","page":"1483-1488","source":"ScienceDirect","title":"Long-term exposure to ambient air pollution and mortality in a Chinese tuberculosis cohort","volume":"580","author":[{"family":"Peng","given":"Zhuoxin"},{"family":"Liu","given":"Cong"},{"family":"Xu","given":"Biao"},{"family":"Kan","given":"Haidong"},{"family":"Wang","given":"Weibing"}],"issued":{"date-parts":[["2017",2,15]]}}}],"schema":"https://github.com/citation-style-language/schema/raw/master/csl-citation.json"} </w:instrText>
      </w:r>
      <w:r w:rsidR="002C66DA">
        <w:rPr>
          <w:sz w:val="22"/>
          <w:szCs w:val="22"/>
        </w:rPr>
        <w:fldChar w:fldCharType="separate"/>
      </w:r>
      <w:r w:rsidR="001B437E">
        <w:rPr>
          <w:noProof/>
          <w:sz w:val="22"/>
          <w:szCs w:val="22"/>
        </w:rPr>
        <w:t>[36]</w:t>
      </w:r>
      <w:r w:rsidR="002C66DA">
        <w:rPr>
          <w:sz w:val="22"/>
          <w:szCs w:val="22"/>
        </w:rPr>
        <w:fldChar w:fldCharType="end"/>
      </w:r>
      <w:r w:rsidR="00C23CC5">
        <w:rPr>
          <w:sz w:val="22"/>
          <w:szCs w:val="22"/>
        </w:rPr>
        <w:t xml:space="preserve">.  </w:t>
      </w:r>
      <w:r w:rsidR="003F44E6">
        <w:rPr>
          <w:sz w:val="22"/>
          <w:szCs w:val="22"/>
        </w:rPr>
        <w:t>Our risk estimates of exposure to PM</w:t>
      </w:r>
      <w:r w:rsidR="003F44E6" w:rsidRPr="003F44E6">
        <w:rPr>
          <w:sz w:val="22"/>
          <w:szCs w:val="22"/>
          <w:vertAlign w:val="subscript"/>
        </w:rPr>
        <w:t>2.5</w:t>
      </w:r>
      <w:r w:rsidR="003F44E6">
        <w:rPr>
          <w:sz w:val="22"/>
          <w:szCs w:val="22"/>
        </w:rPr>
        <w:t xml:space="preserve"> and all-cause mortality for the </w:t>
      </w:r>
      <w:r w:rsidR="003F44E6">
        <w:rPr>
          <w:sz w:val="22"/>
          <w:szCs w:val="22"/>
        </w:rPr>
        <w:lastRenderedPageBreak/>
        <w:t xml:space="preserve">full cohort of MDR-TB patients was </w:t>
      </w:r>
      <w:r w:rsidR="00156F57">
        <w:rPr>
          <w:sz w:val="22"/>
          <w:szCs w:val="22"/>
        </w:rPr>
        <w:t xml:space="preserve">higher, </w:t>
      </w:r>
      <w:r w:rsidR="003D6F0C">
        <w:rPr>
          <w:sz w:val="22"/>
          <w:szCs w:val="22"/>
        </w:rPr>
        <w:t xml:space="preserve">suggesting that MDR-TB patients might be more vulnerable to ambient PM than those with </w:t>
      </w:r>
      <w:r w:rsidR="00961161">
        <w:rPr>
          <w:sz w:val="22"/>
          <w:szCs w:val="22"/>
        </w:rPr>
        <w:t xml:space="preserve">a </w:t>
      </w:r>
      <w:r w:rsidR="003D6F0C">
        <w:rPr>
          <w:sz w:val="22"/>
          <w:szCs w:val="22"/>
        </w:rPr>
        <w:t xml:space="preserve">regular TB. </w:t>
      </w:r>
    </w:p>
    <w:p w14:paraId="59D76A69" w14:textId="77777777" w:rsidR="00AB51A4" w:rsidRDefault="00AB51A4" w:rsidP="007719C5">
      <w:pPr>
        <w:spacing w:line="480" w:lineRule="auto"/>
        <w:rPr>
          <w:bCs/>
          <w:i/>
          <w:sz w:val="22"/>
          <w:szCs w:val="22"/>
        </w:rPr>
      </w:pPr>
    </w:p>
    <w:p w14:paraId="50EEFCCD" w14:textId="2D36487E" w:rsidR="00201105" w:rsidRDefault="00FA5410" w:rsidP="007719C5">
      <w:pPr>
        <w:spacing w:line="480" w:lineRule="auto"/>
        <w:rPr>
          <w:bCs/>
          <w:sz w:val="22"/>
          <w:szCs w:val="22"/>
        </w:rPr>
      </w:pPr>
      <w:r w:rsidRPr="00E7439F">
        <w:rPr>
          <w:bCs/>
          <w:i/>
          <w:sz w:val="22"/>
          <w:szCs w:val="22"/>
          <w:lang w:val="it-IT"/>
        </w:rPr>
        <w:t>Ji et al.</w:t>
      </w:r>
      <w:r w:rsidRPr="00E7439F">
        <w:rPr>
          <w:bCs/>
          <w:sz w:val="22"/>
          <w:szCs w:val="22"/>
          <w:lang w:val="it-IT"/>
        </w:rPr>
        <w:t xml:space="preserve"> </w:t>
      </w:r>
      <w:r w:rsidR="00B43D90">
        <w:rPr>
          <w:bCs/>
          <w:sz w:val="22"/>
          <w:szCs w:val="22"/>
        </w:rPr>
        <w:fldChar w:fldCharType="begin"/>
      </w:r>
      <w:r w:rsidR="004C78BF">
        <w:rPr>
          <w:bCs/>
          <w:sz w:val="22"/>
          <w:szCs w:val="22"/>
          <w:lang w:val="it-IT"/>
        </w:rPr>
        <w:instrText xml:space="preserve"> ADDIN ZOTERO_ITEM CSL_CITATION {"citationID":"gOGmAq38","properties":{"formattedCitation":"[10]","plainCitation":"[10]","noteIndex":0},"citationItems":[{"id":10,"uris":["http://zotero.org/users/4920080/items/66B7HVYV"],"uri":["http://zotero.org/users/4920080/items/66B7HVYV"],"itemData":{"id":10,"type":"article-journal","abstract":"&lt;h2&gt;Summary&lt;/h2&gt;&lt;h3&gt;Background&lt;/h3&gt;&lt;p&gt;Both air pollution and green space have been shown to affect health. We aimed to assess whether greenness protects against air pollution-related mortality.&lt;/p&gt;&lt;h3&gt;Methods&lt;/h3&gt;&lt;p&gt;We used data from the 2008 wave of the Chinese Longitudinal Healthy Longevity Survey. We calculated contemporaneous normalised difference vegetation index (NDVI) in the 500 m radius around each participant's residence. Fine particulate matter (PM&lt;sub&gt;2·5&lt;/sub&gt;) concentration was calculated using 3-year average concentrations in 1 km × 1 km grid resolution. We used Cox proportional hazards models to estimate the effects of NDVI, PM&lt;sub&gt;2·5&lt;/sub&gt;, and their interaction on all-cause mortality, adjusted for a range of covariates.&lt;/p&gt;&lt;h3&gt;Findings&lt;/h3&gt;&lt;p&gt;The cohort contained 12 873 participants, totalling 47 884 person-years. There were 7426 deaths between 2008 and 2014. The mean contemporaneous NDVI was 0·42 (SD 0·21), and the mean 3-year average PM&lt;sub&gt;2·5&lt;/sub&gt; was 49·63 μg/m&lt;sup&gt;3&lt;/sup&gt; (13·72). In the fully adjusted model, the mortality hazard ratio for each 0·1-unit decrease in contemporaneous NDVI was 1·08 (95% CI 1·03–1·13), each 10 μg/m&lt;sup&gt;3&lt;/sup&gt; increase in PM&lt;sub&gt;2·5&lt;/sub&gt; was 1·13 (1·09–1·18), and the interaction term was 1·01 (1·00–1·02) with a p value of 0·027. We observed non-linear associations in our stratified analyses: people living in urban areas were more likely to benefit from greenness, and people living in rural areas were more likely to be harmed by air pollution.&lt;/p&gt;&lt;h3&gt;Interpretation&lt;/h3&gt;&lt;p&gt;Our study showed some indication of a synergistic effect of greenness and air pollution, suggesting that green space planning and air pollution control can jointly improve public health.&lt;/p&gt;&lt;h3&gt;Funding&lt;/h3&gt;&lt;p&gt;Bill &amp; Melinda Gates Foundation, National Institutes of Health, National Key R&amp;D Program of China, National Natural Science Foundation of China.&lt;/p&gt;","container-title":"The Lancet Planetary Health","DOI":"10.1016/S2542-5196(20)30027-9","ISSN":"2542-5196","issue":"3","journalAbbreviation":"The Lancet Planetary Health","language":"English","note":"publisher: Elsevier\nPMID: 32220672","page":"e107-e115","source":"www.thelancet.com","title":"Interaction between residential greenness and air pollution mortality: analysis of the Chinese Longitudinal Healthy Longevity Survey","title-short":"Interaction between residential greenness and air pollution mortality","volume":"4","author":[{"family":"Ji","given":"John S."},{"family":"Zhu","given":"Anna"},{"family":"Lv","given":"Yuebin"},{"family":"Shi","given":"Xiaoming"}],"issued":{"date-parts":[["2020",3,1]]}}}],"schema":"https://github.com/citation-style-language/schema/raw/master/csl-citation.json"} </w:instrText>
      </w:r>
      <w:r w:rsidR="00B43D90">
        <w:rPr>
          <w:bCs/>
          <w:sz w:val="22"/>
          <w:szCs w:val="22"/>
        </w:rPr>
        <w:fldChar w:fldCharType="separate"/>
      </w:r>
      <w:r w:rsidR="004C78BF">
        <w:rPr>
          <w:bCs/>
          <w:noProof/>
          <w:sz w:val="22"/>
          <w:szCs w:val="22"/>
          <w:lang w:val="it-IT"/>
        </w:rPr>
        <w:t>[10]</w:t>
      </w:r>
      <w:r w:rsidR="00B43D90">
        <w:rPr>
          <w:bCs/>
          <w:sz w:val="22"/>
          <w:szCs w:val="22"/>
        </w:rPr>
        <w:fldChar w:fldCharType="end"/>
      </w:r>
      <w:r w:rsidR="00B43D90" w:rsidRPr="00BB0D77">
        <w:rPr>
          <w:bCs/>
          <w:sz w:val="22"/>
          <w:szCs w:val="22"/>
          <w:lang w:val="it-IT"/>
        </w:rPr>
        <w:t xml:space="preserve"> </w:t>
      </w:r>
      <w:r w:rsidRPr="00BB0D77">
        <w:rPr>
          <w:bCs/>
          <w:sz w:val="22"/>
          <w:szCs w:val="22"/>
          <w:lang w:val="it-IT"/>
        </w:rPr>
        <w:t xml:space="preserve">used a prospective cohort of 12,873 participants </w:t>
      </w:r>
      <w:r w:rsidR="00AB51A4" w:rsidRPr="00BB0D77">
        <w:rPr>
          <w:bCs/>
          <w:sz w:val="22"/>
          <w:szCs w:val="22"/>
          <w:lang w:val="it-IT"/>
        </w:rPr>
        <w:t>from</w:t>
      </w:r>
      <w:r w:rsidRPr="00BB0D77">
        <w:rPr>
          <w:bCs/>
          <w:sz w:val="22"/>
          <w:szCs w:val="22"/>
          <w:lang w:val="it-IT"/>
        </w:rPr>
        <w:t xml:space="preserve"> 631 cities and counties </w:t>
      </w:r>
      <w:r w:rsidR="00AB51A4" w:rsidRPr="00BB0D77">
        <w:rPr>
          <w:bCs/>
          <w:sz w:val="22"/>
          <w:szCs w:val="22"/>
          <w:lang w:val="it-IT"/>
        </w:rPr>
        <w:t xml:space="preserve">in </w:t>
      </w:r>
      <w:r w:rsidRPr="00BB0D77">
        <w:rPr>
          <w:bCs/>
          <w:sz w:val="22"/>
          <w:szCs w:val="22"/>
          <w:lang w:val="it-IT"/>
        </w:rPr>
        <w:t xml:space="preserve">22 </w:t>
      </w:r>
      <w:r w:rsidR="00AB51A4" w:rsidRPr="00BB0D77">
        <w:rPr>
          <w:bCs/>
          <w:sz w:val="22"/>
          <w:szCs w:val="22"/>
          <w:lang w:val="it-IT"/>
        </w:rPr>
        <w:t xml:space="preserve">Chinese </w:t>
      </w:r>
      <w:r w:rsidRPr="00BB0D77">
        <w:rPr>
          <w:bCs/>
          <w:sz w:val="22"/>
          <w:szCs w:val="22"/>
          <w:lang w:val="it-IT"/>
        </w:rPr>
        <w:t>provinces</w:t>
      </w:r>
      <w:r w:rsidR="00AB51A4" w:rsidRPr="00BB0D77">
        <w:rPr>
          <w:bCs/>
          <w:sz w:val="22"/>
          <w:szCs w:val="22"/>
          <w:lang w:val="it-IT"/>
        </w:rPr>
        <w:t xml:space="preserve"> to measure whether greenness protects against air pollution-related mortality</w:t>
      </w:r>
      <w:r w:rsidR="00CC7465" w:rsidRPr="00BB0D77">
        <w:rPr>
          <w:bCs/>
          <w:sz w:val="22"/>
          <w:szCs w:val="22"/>
          <w:lang w:val="it-IT"/>
        </w:rPr>
        <w:t xml:space="preserve"> </w:t>
      </w:r>
      <w:r w:rsidR="00D07766" w:rsidRPr="00BB0D77">
        <w:rPr>
          <w:bCs/>
          <w:sz w:val="22"/>
          <w:szCs w:val="22"/>
          <w:lang w:val="it-IT"/>
        </w:rPr>
        <w:t>between 2008 and 2014</w:t>
      </w:r>
      <w:r w:rsidR="00AB51A4" w:rsidRPr="00BB0D77">
        <w:rPr>
          <w:bCs/>
          <w:sz w:val="22"/>
          <w:szCs w:val="22"/>
          <w:lang w:val="it-IT"/>
        </w:rPr>
        <w:t xml:space="preserve">. </w:t>
      </w:r>
      <w:r w:rsidR="00AB51A4">
        <w:rPr>
          <w:bCs/>
          <w:sz w:val="22"/>
          <w:szCs w:val="22"/>
        </w:rPr>
        <w:t xml:space="preserve">This large-scale longitudinal study found </w:t>
      </w:r>
      <w:r w:rsidR="00733A6E">
        <w:rPr>
          <w:bCs/>
          <w:sz w:val="22"/>
          <w:szCs w:val="22"/>
        </w:rPr>
        <w:t>that increasing greenness exposure could reduce mortality associated with PM</w:t>
      </w:r>
      <w:r w:rsidR="00733A6E" w:rsidRPr="00733A6E">
        <w:rPr>
          <w:bCs/>
          <w:sz w:val="22"/>
          <w:szCs w:val="22"/>
          <w:vertAlign w:val="subscript"/>
        </w:rPr>
        <w:t>2.5</w:t>
      </w:r>
      <w:r w:rsidR="00733A6E">
        <w:rPr>
          <w:bCs/>
          <w:sz w:val="22"/>
          <w:szCs w:val="22"/>
        </w:rPr>
        <w:t xml:space="preserve"> exposure in the 500m radium around participant’s residence</w:t>
      </w:r>
      <w:r w:rsidR="003D7B94">
        <w:rPr>
          <w:bCs/>
          <w:sz w:val="22"/>
          <w:szCs w:val="22"/>
        </w:rPr>
        <w:t xml:space="preserve">. </w:t>
      </w:r>
      <w:r w:rsidR="00B43D90">
        <w:rPr>
          <w:bCs/>
          <w:sz w:val="22"/>
          <w:szCs w:val="22"/>
        </w:rPr>
        <w:t xml:space="preserve">Although no studies have examined the effect modification by greenness among TB or MDR-TB patients, </w:t>
      </w:r>
      <w:r w:rsidR="00B43D90" w:rsidRPr="00FA5410">
        <w:rPr>
          <w:bCs/>
          <w:i/>
          <w:sz w:val="22"/>
          <w:szCs w:val="22"/>
        </w:rPr>
        <w:t>Ji et al.</w:t>
      </w:r>
      <w:r w:rsidR="00B43D90">
        <w:rPr>
          <w:bCs/>
          <w:sz w:val="22"/>
          <w:szCs w:val="22"/>
        </w:rPr>
        <w:t xml:space="preserve">’s estimates of greenness in reducing risks of </w:t>
      </w:r>
      <w:r w:rsidR="00DA3DE8">
        <w:rPr>
          <w:bCs/>
          <w:sz w:val="22"/>
          <w:szCs w:val="22"/>
        </w:rPr>
        <w:t xml:space="preserve">all-cause </w:t>
      </w:r>
      <w:r w:rsidR="00B43D90">
        <w:rPr>
          <w:bCs/>
          <w:sz w:val="22"/>
          <w:szCs w:val="22"/>
        </w:rPr>
        <w:t>mortality relevant to PM</w:t>
      </w:r>
      <w:r w:rsidR="00B43D90" w:rsidRPr="00B43D90">
        <w:rPr>
          <w:bCs/>
          <w:sz w:val="22"/>
          <w:szCs w:val="22"/>
          <w:vertAlign w:val="subscript"/>
        </w:rPr>
        <w:t>2.5</w:t>
      </w:r>
      <w:r w:rsidR="00DA3DE8">
        <w:rPr>
          <w:bCs/>
          <w:sz w:val="22"/>
          <w:szCs w:val="22"/>
        </w:rPr>
        <w:t xml:space="preserve"> are consistent with our findings. </w:t>
      </w:r>
      <w:r w:rsidR="00B43D90">
        <w:rPr>
          <w:bCs/>
          <w:sz w:val="22"/>
          <w:szCs w:val="22"/>
        </w:rPr>
        <w:t xml:space="preserve">   </w:t>
      </w:r>
    </w:p>
    <w:p w14:paraId="13E6EA57" w14:textId="77777777" w:rsidR="00B43D90" w:rsidRDefault="00B43D90" w:rsidP="007719C5">
      <w:pPr>
        <w:spacing w:line="480" w:lineRule="auto"/>
        <w:rPr>
          <w:bCs/>
          <w:sz w:val="22"/>
          <w:szCs w:val="22"/>
        </w:rPr>
      </w:pPr>
    </w:p>
    <w:p w14:paraId="7B119227" w14:textId="2909A38B" w:rsidR="005E0E4C" w:rsidRDefault="00D07766" w:rsidP="006813AA">
      <w:pPr>
        <w:spacing w:line="480" w:lineRule="auto"/>
        <w:rPr>
          <w:bCs/>
          <w:sz w:val="22"/>
          <w:szCs w:val="22"/>
        </w:rPr>
      </w:pPr>
      <w:r w:rsidRPr="00261EBD">
        <w:rPr>
          <w:bCs/>
          <w:i/>
          <w:sz w:val="22"/>
          <w:szCs w:val="22"/>
        </w:rPr>
        <w:t>Crouse et al.</w:t>
      </w:r>
      <w:r>
        <w:rPr>
          <w:bCs/>
          <w:sz w:val="22"/>
          <w:szCs w:val="22"/>
        </w:rPr>
        <w:t xml:space="preserve"> </w:t>
      </w:r>
      <w:r>
        <w:rPr>
          <w:bCs/>
          <w:sz w:val="22"/>
          <w:szCs w:val="22"/>
        </w:rPr>
        <w:fldChar w:fldCharType="begin"/>
      </w:r>
      <w:r w:rsidR="004C78BF">
        <w:rPr>
          <w:bCs/>
          <w:sz w:val="22"/>
          <w:szCs w:val="22"/>
        </w:rPr>
        <w:instrText xml:space="preserve"> ADDIN ZOTERO_ITEM CSL_CITATION {"citationID":"xx0m17pE","properties":{"formattedCitation":"[9]","plainCitation":"[9]","noteIndex":0},"citationItems":[{"id":"u3aZZJWI/kzLZqqDA","uris":["http://zotero.org/users/4920080/items/JYLIHYRF"],"uri":["http://zotero.org/users/4920080/items/JYLIHYRF"],"itemData":{"id":"2XsvhjJH/d9WsphHz","type":"article-journal","abstract":"Background\nEpidemiological studies have consistently demonstrated that exposure to fine particulate matter (PM2.5) is associated with increased risks of mortality. To a lesser extent, a series of studies suggest that living in greener areas is associated with reduced risks of mortality. Only a handful of studies have examined the interplay between PM2.5, greenness, and mortality.\nMethods\nWe investigated the role of residential greenness in modifying associations between long-term exposures to PM2.5 and non-accidental and cardiovascular mortality in a national cohort of non-immigrant Canadian adults (i.e., the 2001 Canadian Census Health and Environment Cohort). Specifically, we examined associations between satellite-derived estimates of PM2.5 exposure and mortality across quintiles of greenness measured within 500 m of individual's place of residence during 11 years of follow-up. We adjusted our survival models for many personal and contextual measures of socioeconomic position, and residential mobility data allowed us to characterize annual changes in exposures.\nResults\nOur cohort included approximately 2.4 million individuals at baseline, 194,270 of whom died from non-accidental causes during follow-up. Adjustment for greenness attenuated the association between PM2.5 and mortality (e.g., hazard ratios (HRs) and 95% confidence intervals (CIs) per interquartile range increase in PM2.5 in models for non-accidental mortality decreased from 1.065 (95% CI: 1.056–1.075) to 1.041 (95% CI: 1.031–1.050)). The strength of observed associations between PM2.5 and mortality decreased as greenness increased. This pattern persisted in models restricted to urban residents, in models that considered the combined oxidant capacity of ozone and nitrogen dioxide, and within neighbourhoods characterised by high or low deprivation. We found no increased risk of mortality associated with PM2.5 among those living in the greenest areas. For example, the HR for cardiovascular mortality among individuals in the least green areas was 1.17 (95% CI: 1.12–1.23) compared to 1.01 (95% CI: 0.97–1.06) among those in the greenest areas.\nConclusions\nStudies that do not account for greenness may overstate the air pollution impacts on mortality. Residents in deprived neighbourhoods with high greenness benefitted by having more attenuated associations between PM2.5 and mortality than those living in deprived areas with less greenness. The findings from this study extend our understanding of how living in greener areas may lead to improved health outcomes.","container-title":"Environment International","DOI":"10.1016/j.envint.2019.04.047","ISSN":"0160-4120","journalAbbreviation":"Environment International","language":"en","page":"292-300","source":"ScienceDirect","title":"Complex relationships between greenness, air pollution, and mortality in a population-based Canadian cohort","volume":"128","author":[{"family":"Crouse","given":"Dan L."},{"family":"Pinault","given":"Lauren"},{"family":"Balram","given":"Adele"},{"family":"Brauer","given":"Michael"},{"family":"Burnett","given":"Richard T."},{"family":"Martin","given":"Randall V."},{"family":"Donkelaar","given":"Aaron","non-dropping-particle":"van"},{"family":"Villeneuve","given":"Paul J."},{"family":"Weichenthal","given":"Scott"}],"issued":{"date-parts":[["2019",7,1]]}}}],"schema":"https://github.com/citation-style-language/schema/raw/master/csl-citation.json"} </w:instrText>
      </w:r>
      <w:r>
        <w:rPr>
          <w:bCs/>
          <w:sz w:val="22"/>
          <w:szCs w:val="22"/>
        </w:rPr>
        <w:fldChar w:fldCharType="separate"/>
      </w:r>
      <w:r w:rsidR="004C78BF">
        <w:rPr>
          <w:bCs/>
          <w:noProof/>
          <w:sz w:val="22"/>
          <w:szCs w:val="22"/>
        </w:rPr>
        <w:t>[9]</w:t>
      </w:r>
      <w:r>
        <w:rPr>
          <w:bCs/>
          <w:sz w:val="22"/>
          <w:szCs w:val="22"/>
        </w:rPr>
        <w:fldChar w:fldCharType="end"/>
      </w:r>
      <w:r>
        <w:rPr>
          <w:bCs/>
          <w:sz w:val="22"/>
          <w:szCs w:val="22"/>
        </w:rPr>
        <w:t xml:space="preserve"> conducted a larger cohort study that include</w:t>
      </w:r>
      <w:r w:rsidR="00FC0C12">
        <w:rPr>
          <w:bCs/>
          <w:sz w:val="22"/>
          <w:szCs w:val="22"/>
        </w:rPr>
        <w:t>s</w:t>
      </w:r>
      <w:r>
        <w:rPr>
          <w:bCs/>
          <w:sz w:val="22"/>
          <w:szCs w:val="22"/>
        </w:rPr>
        <w:t xml:space="preserve"> 2.4 million </w:t>
      </w:r>
      <w:r w:rsidR="00FC0C12">
        <w:rPr>
          <w:bCs/>
          <w:sz w:val="22"/>
          <w:szCs w:val="22"/>
        </w:rPr>
        <w:t>non-immigrant</w:t>
      </w:r>
      <w:r>
        <w:rPr>
          <w:bCs/>
          <w:sz w:val="22"/>
          <w:szCs w:val="22"/>
        </w:rPr>
        <w:t xml:space="preserve"> </w:t>
      </w:r>
      <w:r w:rsidR="00644476">
        <w:rPr>
          <w:bCs/>
          <w:sz w:val="22"/>
          <w:szCs w:val="22"/>
        </w:rPr>
        <w:t>Canadians</w:t>
      </w:r>
      <w:r>
        <w:rPr>
          <w:bCs/>
          <w:sz w:val="22"/>
          <w:szCs w:val="22"/>
        </w:rPr>
        <w:t xml:space="preserve"> to examine the role of residential greenness </w:t>
      </w:r>
      <w:r w:rsidR="00FC0C12">
        <w:rPr>
          <w:bCs/>
          <w:sz w:val="22"/>
          <w:szCs w:val="22"/>
        </w:rPr>
        <w:t>in modifying associations between chronic PM</w:t>
      </w:r>
      <w:r w:rsidR="00FC0C12" w:rsidRPr="00644476">
        <w:rPr>
          <w:bCs/>
          <w:sz w:val="22"/>
          <w:szCs w:val="22"/>
          <w:vertAlign w:val="subscript"/>
        </w:rPr>
        <w:t>2.5</w:t>
      </w:r>
      <w:r w:rsidR="00FC0C12">
        <w:rPr>
          <w:bCs/>
          <w:sz w:val="22"/>
          <w:szCs w:val="22"/>
        </w:rPr>
        <w:t xml:space="preserve"> exposure and non-accidental mortality during 11 years of follow-up. </w:t>
      </w:r>
      <w:r w:rsidR="00644476">
        <w:rPr>
          <w:bCs/>
          <w:sz w:val="22"/>
          <w:szCs w:val="22"/>
        </w:rPr>
        <w:t>They found that individuals in deprived neighborhoods with high greenness benefitted by having more attenuated associations between PM</w:t>
      </w:r>
      <w:r w:rsidR="00644476" w:rsidRPr="00644476">
        <w:rPr>
          <w:bCs/>
          <w:sz w:val="22"/>
          <w:szCs w:val="22"/>
          <w:vertAlign w:val="subscript"/>
        </w:rPr>
        <w:t>2.5</w:t>
      </w:r>
      <w:r w:rsidR="00644476">
        <w:rPr>
          <w:bCs/>
          <w:sz w:val="22"/>
          <w:szCs w:val="22"/>
        </w:rPr>
        <w:t xml:space="preserve"> and mortality than those living in deprived areas with less greenness</w:t>
      </w:r>
      <w:r w:rsidR="00732AA7">
        <w:rPr>
          <w:bCs/>
          <w:sz w:val="22"/>
          <w:szCs w:val="22"/>
        </w:rPr>
        <w:t xml:space="preserve">. </w:t>
      </w:r>
      <w:r w:rsidR="00CC7C23" w:rsidRPr="00CD09DA">
        <w:rPr>
          <w:bCs/>
          <w:sz w:val="22"/>
          <w:szCs w:val="22"/>
        </w:rPr>
        <w:t>Our study observed greater benefits for patients in urban with higher greenness level than those in urban with less greenness</w:t>
      </w:r>
      <w:r w:rsidR="00C3495E">
        <w:rPr>
          <w:bCs/>
          <w:sz w:val="22"/>
          <w:szCs w:val="22"/>
        </w:rPr>
        <w:t>,</w:t>
      </w:r>
      <w:r w:rsidR="001B203D">
        <w:rPr>
          <w:bCs/>
          <w:sz w:val="22"/>
          <w:szCs w:val="22"/>
        </w:rPr>
        <w:t xml:space="preserve"> but not for those in rural areas. </w:t>
      </w:r>
      <w:r w:rsidR="00BD0292">
        <w:rPr>
          <w:bCs/>
          <w:sz w:val="22"/>
          <w:szCs w:val="22"/>
        </w:rPr>
        <w:t xml:space="preserve"> </w:t>
      </w:r>
    </w:p>
    <w:p w14:paraId="08C439A9" w14:textId="77777777" w:rsidR="005E0E4C" w:rsidRDefault="005E0E4C" w:rsidP="007719C5">
      <w:pPr>
        <w:spacing w:line="480" w:lineRule="auto"/>
        <w:rPr>
          <w:bCs/>
          <w:sz w:val="22"/>
          <w:szCs w:val="22"/>
        </w:rPr>
      </w:pPr>
    </w:p>
    <w:p w14:paraId="3157DB85" w14:textId="666EEAC6" w:rsidR="00C279DD" w:rsidRDefault="00B8187B" w:rsidP="007719C5">
      <w:pPr>
        <w:spacing w:line="480" w:lineRule="auto"/>
        <w:rPr>
          <w:bCs/>
          <w:sz w:val="22"/>
          <w:szCs w:val="22"/>
        </w:rPr>
      </w:pPr>
      <w:r>
        <w:rPr>
          <w:bCs/>
          <w:sz w:val="22"/>
          <w:szCs w:val="22"/>
        </w:rPr>
        <w:t xml:space="preserve">Some previous studies suggested </w:t>
      </w:r>
      <w:r w:rsidR="007D3ACB">
        <w:rPr>
          <w:bCs/>
          <w:sz w:val="22"/>
          <w:szCs w:val="22"/>
        </w:rPr>
        <w:t xml:space="preserve">that </w:t>
      </w:r>
      <w:r>
        <w:rPr>
          <w:bCs/>
          <w:sz w:val="22"/>
          <w:szCs w:val="22"/>
        </w:rPr>
        <w:t>difference</w:t>
      </w:r>
      <w:r w:rsidR="007D3ACB">
        <w:rPr>
          <w:bCs/>
          <w:sz w:val="22"/>
          <w:szCs w:val="22"/>
        </w:rPr>
        <w:t>s</w:t>
      </w:r>
      <w:r>
        <w:rPr>
          <w:bCs/>
          <w:sz w:val="22"/>
          <w:szCs w:val="22"/>
        </w:rPr>
        <w:t xml:space="preserve"> </w:t>
      </w:r>
      <w:r w:rsidR="00D04A22">
        <w:rPr>
          <w:bCs/>
          <w:sz w:val="22"/>
          <w:szCs w:val="22"/>
        </w:rPr>
        <w:t>in sex and age regarding the impacts of greenness on PM</w:t>
      </w:r>
      <w:r w:rsidR="00D04A22" w:rsidRPr="00B8187B">
        <w:rPr>
          <w:bCs/>
          <w:sz w:val="22"/>
          <w:szCs w:val="22"/>
          <w:vertAlign w:val="subscript"/>
        </w:rPr>
        <w:t>2.5</w:t>
      </w:r>
      <w:r w:rsidR="00D04A22">
        <w:rPr>
          <w:bCs/>
          <w:sz w:val="22"/>
          <w:szCs w:val="22"/>
        </w:rPr>
        <w:t xml:space="preserve"> associated with mortality </w:t>
      </w:r>
      <w:r w:rsidR="00D04A22">
        <w:rPr>
          <w:bCs/>
          <w:sz w:val="22"/>
          <w:szCs w:val="22"/>
        </w:rPr>
        <w:fldChar w:fldCharType="begin"/>
      </w:r>
      <w:r w:rsidR="001B437E">
        <w:rPr>
          <w:bCs/>
          <w:sz w:val="22"/>
          <w:szCs w:val="22"/>
        </w:rPr>
        <w:instrText xml:space="preserve"> ADDIN ZOTERO_ITEM CSL_CITATION {"citationID":"gdVa0poZ","properties":{"formattedCitation":"[10, 37]","plainCitation":"[10, 37]","noteIndex":0},"citationItems":[{"id":10,"uris":["http://zotero.org/users/4920080/items/66B7HVYV"],"uri":["http://zotero.org/users/4920080/items/66B7HVYV"],"itemData":{"id":10,"type":"article-journal","abstract":"&lt;h2&gt;Summary&lt;/h2&gt;&lt;h3&gt;Background&lt;/h3&gt;&lt;p&gt;Both air pollution and green space have been shown to affect health. We aimed to assess whether greenness protects against air pollution-related mortality.&lt;/p&gt;&lt;h3&gt;Methods&lt;/h3&gt;&lt;p&gt;We used data from the 2008 wave of the Chinese Longitudinal Healthy Longevity Survey. We calculated contemporaneous normalised difference vegetation index (NDVI) in the 500 m radius around each participant's residence. Fine particulate matter (PM&lt;sub&gt;2·5&lt;/sub&gt;) concentration was calculated using 3-year average concentrations in 1 km × 1 km grid resolution. We used Cox proportional hazards models to estimate the effects of NDVI, PM&lt;sub&gt;2·5&lt;/sub&gt;, and their interaction on all-cause mortality, adjusted for a range of covariates.&lt;/p&gt;&lt;h3&gt;Findings&lt;/h3&gt;&lt;p&gt;The cohort contained 12 873 participants, totalling 47 884 person-years. There were 7426 deaths between 2008 and 2014. The mean contemporaneous NDVI was 0·42 (SD 0·21), and the mean 3-year average PM&lt;sub&gt;2·5&lt;/sub&gt; was 49·63 μg/m&lt;sup&gt;3&lt;/sup&gt; (13·72). In the fully adjusted model, the mortality hazard ratio for each 0·1-unit decrease in contemporaneous NDVI was 1·08 (95% CI 1·03–1·13), each 10 μg/m&lt;sup&gt;3&lt;/sup&gt; increase in PM&lt;sub&gt;2·5&lt;/sub&gt; was 1·13 (1·09–1·18), and the interaction term was 1·01 (1·00–1·02) with a p value of 0·027. We observed non-linear associations in our stratified analyses: people living in urban areas were more likely to benefit from greenness, and people living in rural areas were more likely to be harmed by air pollution.&lt;/p&gt;&lt;h3&gt;Interpretation&lt;/h3&gt;&lt;p&gt;Our study showed some indication of a synergistic effect of greenness and air pollution, suggesting that green space planning and air pollution control can jointly improve public health.&lt;/p&gt;&lt;h3&gt;Funding&lt;/h3&gt;&lt;p&gt;Bill &amp; Melinda Gates Foundation, National Institutes of Health, National Key R&amp;D Program of China, National Natural Science Foundation of China.&lt;/p&gt;","container-title":"The Lancet Planetary Health","DOI":"10.1016/S2542-5196(20)30027-9","ISSN":"2542-5196","issue":"3","journalAbbreviation":"The Lancet Planetary Health","language":"English","note":"publisher: Elsevier\nPMID: 32220672","page":"e107-e115","source":"www.thelancet.com","title":"Interaction between residential greenness and air pollution mortality: analysis of the Chinese Longitudinal Healthy Longevity Survey","title-short":"Interaction between residential greenness and air pollution mortality","volume":"4","author":[{"family":"Ji","given":"John S."},{"family":"Zhu","given":"Anna"},{"family":"Lv","given":"Yuebin"},{"family":"Shi","given":"Xiaoming"}],"issued":{"date-parts":[["2020",3,1]]}}},{"id":395,"uris":["http://zotero.org/users/4920080/items/XIYDMCTL"],"uri":["http://zotero.org/users/4920080/items/XIYDMCTL"],"itemData":{"id":395,"type":"article-journal","abstract":"Summary\nBackground\nFindings from published studies suggest that exposure to and interactions with green spaces are associated with improved psychological wellbeing and have cognitive, physiological, and social benefits, but few studies have examined their potential effect on the risk of mortality. We therefore undertook a national study in Canada to examine associations between urban greenness and cause-specific mortality.\nMethods\nWe used data from a large cohort study (the 2001 Canadian Census Health and Environment Cohort [2001 CanCHEC]), which consisted of approximately 1·3 million adult (aged ≥19 years), non-immigrant, urban Canadians in 30 cities who responded to the mandatory 2001 Statistics Canada long-form census. The cohort has been linked by Statistics Canada to the Canadian mortality database and to annual income tax filings through 2011. We measured greenness with images from the moderate-resolution imaging spectroradiometer from NASA's Aqua satellite. We assigned estimates of exposure to greenness derived from remotely sensed Normalized Difference Vegetation Index (NDVI) within both 250 m and 500 m of participants' residences for each year during 11 years of follow-up (between 2001 and 2011). We used Cox proportional hazards models to estimate associations between residential greenness (as a continuous variable) and mortality. We estimated hazard ratios (HRs) and corresponding 95% CIs per IQR (0·15) increase in NDVI adjusted for personal (eg, education and income) and contextual covariates, including exposures to fine particulate matter, ozone, and nitrogen dioxide. We also considered effect modification by selected personal covariates (age, sex, household income adequacy quintiles, highest level of education, and marital status).\nFindings\nOur cohort consisted of approximately 1 265 000 individuals at baseline who contributed 11 523 770 person-years. We showed significant decreased risks of mortality in the range of 8–12% from all causes of death examined with increased greenness around participants' residence. In the fully adjusted analyses, the risk was significantly decreased for all causes of death (non-accidental HR 0·915, 95% CI 0·905–0·924; cardiovascular plus diabetes 0·911, 0·895–0·928; cardiovascular 0·911, 0·894–0·928; ischaemic heart disease 0·904, 0·882–0·927; cerebrovascular 0·942, 0·902–0·983; and respiratory 0·899, 0·869–0·930). Greenness associations were more protective among men than women (HR 0·880, 95% CI 0·868–0·893 vs 0·955, 0·941–0·969), and among individuals with higher incomes (highest quintile 0·812, 0·791–0·834 vs lowest quintile 0·991, 0·972–1·011) and more education (degree or more 0·816, 0·791–0·842 vs did not complete high school 0·964, 0·950–0·978).\nInterpretation\nIncreased amounts of residential greenness were associated with reduced risks of dying from several common causes of death among urban Canadians. We identified evidence of inequalities, both in terms of exposures to greenness and mortality risks, by personal socioeconomic status among individuals living in generally similar environments, and with reasonably similar access to health care and other social services. The findings support the development of policies related to creating greener and healthier cities.\nFunding\nNone.","container-title":"The Lancet Planetary Health","DOI":"10.1016/S2542-5196(17)30118-3","ISSN":"2542-5196","issue":"7","journalAbbreviation":"The Lancet Planetary Health","page":"e289-e297","source":"ScienceDirect","title":"Urban greenness and mortality in Canada's largest cities: a national cohort study","title-short":"Urban greenness and mortality in Canada's largest cities","volume":"1","author":[{"family":"Crouse","given":"Dan L"},{"family":"Pinault","given":"Lauren"},{"family":"Balram","given":"Adele"},{"family":"Hystad","given":"Perry"},{"family":"Peters","given":"Paul A"},{"family":"Chen","given":"Hong"},{"family":"Donkelaar","given":"Aaron","non-dropping-particle":"van"},{"family":"Martin","given":"Randall V"},{"family":"Ménard","given":"Richard"},{"family":"Robichaud","given":"Alain"},{"family":"Villeneuve","given":"Paul J"}],"issued":{"date-parts":[["2017",10,1]]}}}],"schema":"https://github.com/citation-style-language/schema/raw/master/csl-citation.json"} </w:instrText>
      </w:r>
      <w:r w:rsidR="00D04A22">
        <w:rPr>
          <w:bCs/>
          <w:sz w:val="22"/>
          <w:szCs w:val="22"/>
        </w:rPr>
        <w:fldChar w:fldCharType="separate"/>
      </w:r>
      <w:r w:rsidR="001B437E">
        <w:rPr>
          <w:bCs/>
          <w:noProof/>
          <w:sz w:val="22"/>
          <w:szCs w:val="22"/>
        </w:rPr>
        <w:t>[10, 37]</w:t>
      </w:r>
      <w:r w:rsidR="00D04A22">
        <w:rPr>
          <w:bCs/>
          <w:sz w:val="22"/>
          <w:szCs w:val="22"/>
        </w:rPr>
        <w:fldChar w:fldCharType="end"/>
      </w:r>
      <w:r w:rsidR="00D04A22">
        <w:rPr>
          <w:bCs/>
          <w:sz w:val="22"/>
          <w:szCs w:val="22"/>
        </w:rPr>
        <w:t>. However</w:t>
      </w:r>
      <w:r w:rsidR="004D4C47">
        <w:rPr>
          <w:bCs/>
          <w:sz w:val="22"/>
          <w:szCs w:val="22"/>
        </w:rPr>
        <w:t>,</w:t>
      </w:r>
      <w:r w:rsidR="00D04A22">
        <w:rPr>
          <w:bCs/>
          <w:sz w:val="22"/>
          <w:szCs w:val="22"/>
        </w:rPr>
        <w:t xml:space="preserve"> the literature has been inconsistent. </w:t>
      </w:r>
      <w:r w:rsidR="00C279DD">
        <w:rPr>
          <w:bCs/>
          <w:sz w:val="22"/>
          <w:szCs w:val="22"/>
        </w:rPr>
        <w:t>Our observed more attenuated risks of mortality relevant to PM</w:t>
      </w:r>
      <w:r w:rsidR="00C279DD" w:rsidRPr="00A71B36">
        <w:rPr>
          <w:bCs/>
          <w:sz w:val="22"/>
          <w:szCs w:val="22"/>
          <w:vertAlign w:val="subscript"/>
        </w:rPr>
        <w:t>2.5</w:t>
      </w:r>
      <w:r w:rsidR="00C279DD">
        <w:rPr>
          <w:bCs/>
          <w:sz w:val="22"/>
          <w:szCs w:val="22"/>
        </w:rPr>
        <w:t xml:space="preserve"> with the greatest greenness among younger</w:t>
      </w:r>
      <w:r w:rsidR="00EA1886">
        <w:rPr>
          <w:bCs/>
          <w:sz w:val="22"/>
          <w:szCs w:val="22"/>
        </w:rPr>
        <w:t xml:space="preserve"> (&lt; 60 years)</w:t>
      </w:r>
      <w:r w:rsidR="00C279DD">
        <w:rPr>
          <w:bCs/>
          <w:sz w:val="22"/>
          <w:szCs w:val="22"/>
        </w:rPr>
        <w:t xml:space="preserve">, untreated, and </w:t>
      </w:r>
      <w:r w:rsidR="00F82C19">
        <w:rPr>
          <w:bCs/>
          <w:sz w:val="22"/>
          <w:szCs w:val="22"/>
        </w:rPr>
        <w:t xml:space="preserve">primary </w:t>
      </w:r>
      <w:r w:rsidR="00EA1886">
        <w:rPr>
          <w:bCs/>
          <w:sz w:val="22"/>
          <w:szCs w:val="22"/>
        </w:rPr>
        <w:t xml:space="preserve">resistance </w:t>
      </w:r>
      <w:r w:rsidR="00C279DD">
        <w:rPr>
          <w:bCs/>
          <w:sz w:val="22"/>
          <w:szCs w:val="22"/>
        </w:rPr>
        <w:t>patients</w:t>
      </w:r>
      <w:r>
        <w:rPr>
          <w:bCs/>
          <w:sz w:val="22"/>
          <w:szCs w:val="22"/>
        </w:rPr>
        <w:t xml:space="preserve"> </w:t>
      </w:r>
      <w:r w:rsidR="00C279DD">
        <w:rPr>
          <w:bCs/>
          <w:sz w:val="22"/>
          <w:szCs w:val="22"/>
        </w:rPr>
        <w:t>impl</w:t>
      </w:r>
      <w:r w:rsidR="004D4F0D">
        <w:rPr>
          <w:bCs/>
          <w:sz w:val="22"/>
          <w:szCs w:val="22"/>
        </w:rPr>
        <w:t>y</w:t>
      </w:r>
      <w:r w:rsidR="00EA1886">
        <w:rPr>
          <w:bCs/>
          <w:sz w:val="22"/>
          <w:szCs w:val="22"/>
        </w:rPr>
        <w:t xml:space="preserve"> that</w:t>
      </w:r>
      <w:r w:rsidR="004D4F0D">
        <w:rPr>
          <w:bCs/>
          <w:sz w:val="22"/>
          <w:szCs w:val="22"/>
        </w:rPr>
        <w:t xml:space="preserve"> effect heterogeneity </w:t>
      </w:r>
      <w:r w:rsidR="00EA1886">
        <w:rPr>
          <w:bCs/>
          <w:sz w:val="22"/>
          <w:szCs w:val="22"/>
        </w:rPr>
        <w:t xml:space="preserve">exists in age, </w:t>
      </w:r>
      <w:r w:rsidR="007C1225">
        <w:rPr>
          <w:bCs/>
          <w:sz w:val="22"/>
          <w:szCs w:val="22"/>
        </w:rPr>
        <w:t xml:space="preserve">sex, </w:t>
      </w:r>
      <w:r w:rsidR="00EA1886">
        <w:rPr>
          <w:bCs/>
          <w:sz w:val="22"/>
          <w:szCs w:val="22"/>
        </w:rPr>
        <w:t xml:space="preserve">treatment, </w:t>
      </w:r>
      <w:r w:rsidR="007C1225">
        <w:rPr>
          <w:bCs/>
          <w:sz w:val="22"/>
          <w:szCs w:val="22"/>
        </w:rPr>
        <w:t xml:space="preserve">and </w:t>
      </w:r>
      <w:r w:rsidR="00EA1886">
        <w:rPr>
          <w:bCs/>
          <w:sz w:val="22"/>
          <w:szCs w:val="22"/>
        </w:rPr>
        <w:t>development of drug resistance</w:t>
      </w:r>
      <w:r>
        <w:rPr>
          <w:bCs/>
          <w:sz w:val="22"/>
          <w:szCs w:val="22"/>
        </w:rPr>
        <w:t xml:space="preserve">, although exact mechanisms need to be elucidated. </w:t>
      </w:r>
    </w:p>
    <w:p w14:paraId="4371150D" w14:textId="3C12D1EA" w:rsidR="00B8187B" w:rsidRDefault="00B8187B" w:rsidP="007719C5">
      <w:pPr>
        <w:spacing w:line="480" w:lineRule="auto"/>
        <w:rPr>
          <w:bCs/>
          <w:sz w:val="22"/>
          <w:szCs w:val="22"/>
        </w:rPr>
      </w:pPr>
    </w:p>
    <w:p w14:paraId="7D9623E8" w14:textId="66033D94" w:rsidR="009E45F4" w:rsidRPr="00691953" w:rsidRDefault="002F5922" w:rsidP="007719C5">
      <w:pPr>
        <w:spacing w:line="480" w:lineRule="auto"/>
        <w:rPr>
          <w:sz w:val="22"/>
          <w:szCs w:val="22"/>
        </w:rPr>
      </w:pPr>
      <w:r>
        <w:rPr>
          <w:bCs/>
          <w:sz w:val="22"/>
          <w:szCs w:val="22"/>
        </w:rPr>
        <w:t>A strength of this study is its inclusion of all reported MDR-TB patients in Zhejiang and Ningxia, two provinces</w:t>
      </w:r>
      <w:r w:rsidR="00F57EDF">
        <w:rPr>
          <w:bCs/>
          <w:sz w:val="22"/>
          <w:szCs w:val="22"/>
        </w:rPr>
        <w:t xml:space="preserve"> implemented rigorous diagnosis methods and </w:t>
      </w:r>
      <w:r w:rsidR="00F57EDF">
        <w:rPr>
          <w:sz w:val="22"/>
          <w:szCs w:val="22"/>
        </w:rPr>
        <w:t xml:space="preserve">24-month standardized treatment under the </w:t>
      </w:r>
      <w:r w:rsidR="00F57EDF">
        <w:rPr>
          <w:sz w:val="22"/>
          <w:szCs w:val="22"/>
        </w:rPr>
        <w:lastRenderedPageBreak/>
        <w:t xml:space="preserve">China-Bill and Melinda Gates TB project. </w:t>
      </w:r>
      <w:r w:rsidR="00793D78">
        <w:rPr>
          <w:sz w:val="22"/>
          <w:szCs w:val="22"/>
        </w:rPr>
        <w:t xml:space="preserve">Additionally, we had detailed demographic data, treatment history, and environmental data around patient’s residence, which allow us to conduct full adjusted models and a series </w:t>
      </w:r>
      <w:r w:rsidR="00E54FEA">
        <w:rPr>
          <w:sz w:val="22"/>
          <w:szCs w:val="22"/>
        </w:rPr>
        <w:t>stratified analysis</w:t>
      </w:r>
      <w:r w:rsidR="00793D78">
        <w:rPr>
          <w:sz w:val="22"/>
          <w:szCs w:val="22"/>
        </w:rPr>
        <w:t xml:space="preserve">. Despite these strengths, a few limitations should be noted. Although </w:t>
      </w:r>
      <w:r w:rsidR="00636C4F">
        <w:rPr>
          <w:sz w:val="22"/>
          <w:szCs w:val="22"/>
        </w:rPr>
        <w:t xml:space="preserve">migrant and local patients </w:t>
      </w:r>
      <w:r w:rsidR="0005052C">
        <w:rPr>
          <w:sz w:val="22"/>
          <w:szCs w:val="22"/>
        </w:rPr>
        <w:t>who did not have</w:t>
      </w:r>
      <w:r w:rsidR="00636C4F">
        <w:rPr>
          <w:sz w:val="22"/>
          <w:szCs w:val="22"/>
        </w:rPr>
        <w:t xml:space="preserve"> residential </w:t>
      </w:r>
      <w:r w:rsidR="00C35D8A">
        <w:rPr>
          <w:sz w:val="22"/>
          <w:szCs w:val="22"/>
        </w:rPr>
        <w:t>information or nor air pollution/NDVI data were excluded</w:t>
      </w:r>
      <w:r w:rsidR="0061716B">
        <w:rPr>
          <w:sz w:val="22"/>
          <w:szCs w:val="22"/>
        </w:rPr>
        <w:t xml:space="preserve">, </w:t>
      </w:r>
      <w:r w:rsidR="003F7EA4">
        <w:rPr>
          <w:sz w:val="22"/>
          <w:szCs w:val="22"/>
        </w:rPr>
        <w:t>misclassification (over- or underestimation)</w:t>
      </w:r>
      <w:r w:rsidR="003B3197">
        <w:rPr>
          <w:sz w:val="22"/>
          <w:szCs w:val="22"/>
        </w:rPr>
        <w:t xml:space="preserve"> and selection, </w:t>
      </w:r>
      <w:r w:rsidR="00BA15A4">
        <w:rPr>
          <w:sz w:val="22"/>
          <w:szCs w:val="22"/>
        </w:rPr>
        <w:t xml:space="preserve">albeit </w:t>
      </w:r>
      <w:r w:rsidR="00810CA9">
        <w:rPr>
          <w:sz w:val="22"/>
          <w:szCs w:val="22"/>
        </w:rPr>
        <w:t>low,</w:t>
      </w:r>
      <w:r w:rsidR="00BA15A4">
        <w:rPr>
          <w:sz w:val="22"/>
          <w:szCs w:val="22"/>
        </w:rPr>
        <w:t xml:space="preserve"> </w:t>
      </w:r>
      <w:r w:rsidR="003B3197">
        <w:rPr>
          <w:sz w:val="22"/>
          <w:szCs w:val="22"/>
        </w:rPr>
        <w:t>m</w:t>
      </w:r>
      <w:r w:rsidR="0005052C">
        <w:rPr>
          <w:sz w:val="22"/>
          <w:szCs w:val="22"/>
        </w:rPr>
        <w:t>ight</w:t>
      </w:r>
      <w:r w:rsidR="003F7EA4">
        <w:rPr>
          <w:sz w:val="22"/>
          <w:szCs w:val="22"/>
        </w:rPr>
        <w:t xml:space="preserve"> still</w:t>
      </w:r>
      <w:r w:rsidR="003B3197">
        <w:rPr>
          <w:sz w:val="22"/>
          <w:szCs w:val="22"/>
        </w:rPr>
        <w:t xml:space="preserve"> be</w:t>
      </w:r>
      <w:r w:rsidR="003F7EA4">
        <w:rPr>
          <w:sz w:val="22"/>
          <w:szCs w:val="22"/>
        </w:rPr>
        <w:t xml:space="preserve"> possible. A</w:t>
      </w:r>
      <w:r w:rsidR="005E1DEB">
        <w:rPr>
          <w:sz w:val="22"/>
          <w:szCs w:val="22"/>
        </w:rPr>
        <w:t xml:space="preserve">lthough </w:t>
      </w:r>
      <w:r w:rsidR="003F7EA4">
        <w:rPr>
          <w:sz w:val="22"/>
          <w:szCs w:val="22"/>
        </w:rPr>
        <w:t xml:space="preserve">we have adjusted for a set of potential individual and contextual covariates, which </w:t>
      </w:r>
      <w:r w:rsidR="00F57EDF">
        <w:rPr>
          <w:sz w:val="22"/>
          <w:szCs w:val="22"/>
        </w:rPr>
        <w:t xml:space="preserve">minimized </w:t>
      </w:r>
      <w:r w:rsidR="003F7EA4">
        <w:rPr>
          <w:sz w:val="22"/>
          <w:szCs w:val="22"/>
        </w:rPr>
        <w:t xml:space="preserve">but might not have </w:t>
      </w:r>
      <w:r w:rsidR="00073EB2">
        <w:rPr>
          <w:sz w:val="22"/>
          <w:szCs w:val="22"/>
        </w:rPr>
        <w:t>fully eliminated</w:t>
      </w:r>
      <w:r w:rsidR="003F7EA4">
        <w:rPr>
          <w:sz w:val="22"/>
          <w:szCs w:val="22"/>
        </w:rPr>
        <w:t xml:space="preserve"> confounding. For example, some MDR-TB patients received individual adjusted treatment when standardized MDR-TB regimens were not effective; however, we did not have information regarding change of regimens during treatment. </w:t>
      </w:r>
      <w:r w:rsidR="005E03DC">
        <w:rPr>
          <w:sz w:val="22"/>
          <w:szCs w:val="22"/>
        </w:rPr>
        <w:t>A</w:t>
      </w:r>
      <w:r w:rsidR="00BA0ABD">
        <w:rPr>
          <w:sz w:val="22"/>
          <w:szCs w:val="22"/>
        </w:rPr>
        <w:t>lthough we have</w:t>
      </w:r>
      <w:r w:rsidR="00691953">
        <w:rPr>
          <w:sz w:val="22"/>
          <w:szCs w:val="22"/>
        </w:rPr>
        <w:t xml:space="preserve"> adjusted for potential regional effects and</w:t>
      </w:r>
      <w:r w:rsidR="00BA0ABD">
        <w:rPr>
          <w:sz w:val="22"/>
          <w:szCs w:val="22"/>
        </w:rPr>
        <w:t xml:space="preserve"> stratified </w:t>
      </w:r>
      <w:r w:rsidR="00691953">
        <w:rPr>
          <w:sz w:val="22"/>
          <w:szCs w:val="22"/>
        </w:rPr>
        <w:t xml:space="preserve">the analyses by the provinces, </w:t>
      </w:r>
      <w:r w:rsidR="00A27FE1">
        <w:rPr>
          <w:sz w:val="22"/>
          <w:szCs w:val="22"/>
        </w:rPr>
        <w:t>the hazard ratio of PM</w:t>
      </w:r>
      <w:r w:rsidR="00A27FE1" w:rsidRPr="00691953">
        <w:rPr>
          <w:sz w:val="22"/>
          <w:szCs w:val="22"/>
          <w:vertAlign w:val="subscript"/>
        </w:rPr>
        <w:t>2.5</w:t>
      </w:r>
      <w:r w:rsidR="00A27FE1">
        <w:rPr>
          <w:sz w:val="22"/>
          <w:szCs w:val="22"/>
        </w:rPr>
        <w:t xml:space="preserve"> could not be confirmed for only 4 cases </w:t>
      </w:r>
      <w:r w:rsidR="00691953">
        <w:rPr>
          <w:sz w:val="22"/>
          <w:szCs w:val="22"/>
        </w:rPr>
        <w:t>in</w:t>
      </w:r>
      <w:r w:rsidR="00A27FE1">
        <w:rPr>
          <w:sz w:val="22"/>
          <w:szCs w:val="22"/>
        </w:rPr>
        <w:t xml:space="preserve"> </w:t>
      </w:r>
      <w:r w:rsidR="00F252E0">
        <w:rPr>
          <w:rFonts w:hint="eastAsia"/>
          <w:sz w:val="22"/>
          <w:szCs w:val="22"/>
        </w:rPr>
        <w:t>the</w:t>
      </w:r>
      <w:r w:rsidR="00F252E0">
        <w:rPr>
          <w:sz w:val="22"/>
          <w:szCs w:val="22"/>
        </w:rPr>
        <w:t xml:space="preserve"> </w:t>
      </w:r>
      <w:r w:rsidR="008D6CDB">
        <w:rPr>
          <w:sz w:val="22"/>
          <w:szCs w:val="22"/>
        </w:rPr>
        <w:t>most greenery areas (i.e.</w:t>
      </w:r>
      <w:r w:rsidR="00DF4D47">
        <w:rPr>
          <w:sz w:val="22"/>
          <w:szCs w:val="22"/>
        </w:rPr>
        <w:t>,</w:t>
      </w:r>
      <w:r w:rsidR="008D6CDB">
        <w:rPr>
          <w:sz w:val="22"/>
          <w:szCs w:val="22"/>
        </w:rPr>
        <w:t xml:space="preserve"> the </w:t>
      </w:r>
      <w:r w:rsidR="00BD0292">
        <w:rPr>
          <w:rFonts w:hint="eastAsia"/>
          <w:sz w:val="22"/>
          <w:szCs w:val="22"/>
        </w:rPr>
        <w:t>third</w:t>
      </w:r>
      <w:r w:rsidR="008D6CDB">
        <w:rPr>
          <w:sz w:val="22"/>
          <w:szCs w:val="22"/>
        </w:rPr>
        <w:t xml:space="preserve"> </w:t>
      </w:r>
      <w:proofErr w:type="spellStart"/>
      <w:r w:rsidR="008D6CDB">
        <w:rPr>
          <w:sz w:val="22"/>
          <w:szCs w:val="22"/>
        </w:rPr>
        <w:t>t</w:t>
      </w:r>
      <w:r w:rsidR="00BD0292">
        <w:rPr>
          <w:sz w:val="22"/>
          <w:szCs w:val="22"/>
        </w:rPr>
        <w:t>e</w:t>
      </w:r>
      <w:r w:rsidR="008D6CDB">
        <w:rPr>
          <w:sz w:val="22"/>
          <w:szCs w:val="22"/>
        </w:rPr>
        <w:t>rtile</w:t>
      </w:r>
      <w:proofErr w:type="spellEnd"/>
      <w:r w:rsidR="008D6CDB">
        <w:rPr>
          <w:sz w:val="22"/>
          <w:szCs w:val="22"/>
        </w:rPr>
        <w:t xml:space="preserve"> of NDVI)</w:t>
      </w:r>
      <w:r w:rsidR="00A27FE1">
        <w:rPr>
          <w:sz w:val="22"/>
          <w:szCs w:val="22"/>
        </w:rPr>
        <w:t xml:space="preserve"> of</w:t>
      </w:r>
      <w:r w:rsidR="00691953">
        <w:rPr>
          <w:sz w:val="22"/>
          <w:szCs w:val="22"/>
        </w:rPr>
        <w:t xml:space="preserve"> Ningxia</w:t>
      </w:r>
      <w:r w:rsidR="00BD0292">
        <w:rPr>
          <w:sz w:val="22"/>
          <w:szCs w:val="22"/>
        </w:rPr>
        <w:t xml:space="preserve"> given its relatively small population</w:t>
      </w:r>
      <w:r w:rsidR="00691953">
        <w:rPr>
          <w:sz w:val="22"/>
          <w:szCs w:val="22"/>
        </w:rPr>
        <w:t>.</w:t>
      </w:r>
      <w:r w:rsidR="006C3034">
        <w:rPr>
          <w:sz w:val="22"/>
          <w:szCs w:val="22"/>
        </w:rPr>
        <w:t xml:space="preserve"> </w:t>
      </w:r>
      <w:r w:rsidR="00AD232C">
        <w:rPr>
          <w:sz w:val="22"/>
          <w:szCs w:val="22"/>
        </w:rPr>
        <w:t>Different vegetation types m</w:t>
      </w:r>
      <w:r w:rsidR="00BD12AB">
        <w:rPr>
          <w:sz w:val="22"/>
          <w:szCs w:val="22"/>
        </w:rPr>
        <w:t>ight</w:t>
      </w:r>
      <w:r w:rsidR="00AD232C">
        <w:rPr>
          <w:sz w:val="22"/>
          <w:szCs w:val="22"/>
        </w:rPr>
        <w:t xml:space="preserve"> have different abilities in absorbing air pollution [38]. </w:t>
      </w:r>
      <w:r w:rsidR="005F34E1">
        <w:rPr>
          <w:sz w:val="22"/>
          <w:szCs w:val="22"/>
        </w:rPr>
        <w:t xml:space="preserve">The heterogeneity of the </w:t>
      </w:r>
      <w:r w:rsidR="00862E37">
        <w:rPr>
          <w:sz w:val="22"/>
          <w:szCs w:val="22"/>
        </w:rPr>
        <w:t xml:space="preserve">greenness </w:t>
      </w:r>
      <w:r w:rsidR="005F34E1">
        <w:rPr>
          <w:sz w:val="22"/>
          <w:szCs w:val="22"/>
        </w:rPr>
        <w:t xml:space="preserve">modification effects in the two different provinces could be explained if data on vegetation types </w:t>
      </w:r>
      <w:r w:rsidR="00DA5B93">
        <w:rPr>
          <w:sz w:val="22"/>
          <w:szCs w:val="22"/>
        </w:rPr>
        <w:t xml:space="preserve">were available. </w:t>
      </w:r>
      <w:r w:rsidR="005E1DEB">
        <w:rPr>
          <w:sz w:val="22"/>
          <w:szCs w:val="22"/>
        </w:rPr>
        <w:t xml:space="preserve">Lastly, </w:t>
      </w:r>
      <w:r w:rsidR="009F586F">
        <w:rPr>
          <w:sz w:val="22"/>
          <w:szCs w:val="22"/>
        </w:rPr>
        <w:t>smoking</w:t>
      </w:r>
      <w:r w:rsidR="0000583D">
        <w:rPr>
          <w:sz w:val="22"/>
          <w:szCs w:val="22"/>
        </w:rPr>
        <w:t xml:space="preserve"> could</w:t>
      </w:r>
      <w:r w:rsidR="00070781">
        <w:rPr>
          <w:sz w:val="22"/>
          <w:szCs w:val="22"/>
        </w:rPr>
        <w:t xml:space="preserve"> </w:t>
      </w:r>
      <w:r w:rsidR="00C46B1B">
        <w:rPr>
          <w:sz w:val="22"/>
          <w:szCs w:val="22"/>
        </w:rPr>
        <w:t xml:space="preserve">adversely affect </w:t>
      </w:r>
      <w:r w:rsidR="00F20808">
        <w:rPr>
          <w:sz w:val="22"/>
          <w:szCs w:val="22"/>
        </w:rPr>
        <w:t xml:space="preserve">TB treatment </w:t>
      </w:r>
      <w:r w:rsidR="00421DEC">
        <w:rPr>
          <w:sz w:val="22"/>
          <w:szCs w:val="22"/>
        </w:rPr>
        <w:fldChar w:fldCharType="begin"/>
      </w:r>
      <w:r w:rsidR="001B437E">
        <w:rPr>
          <w:sz w:val="22"/>
          <w:szCs w:val="22"/>
        </w:rPr>
        <w:instrText xml:space="preserve"> ADDIN ZOTERO_ITEM CSL_CITATION {"citationID":"DkbAx0Bf","properties":{"formattedCitation":"[38]","plainCitation":"[38]","noteIndex":0},"citationItems":[{"id":288,"uris":["http://zotero.org/users/4920080/items/TDF3FMCK"],"uri":["http://zotero.org/users/4920080/items/TDF3FMCK"],"itemData":{"id":288,"type":"article-journal","abstract":"The impact of smoking on tuberculosis outcome was evaluated in a territory-wide treatment programme.\n16 345 consecutive patients undergoing chemotherapy for active tuberculosis in government chest clinics in Hong Kong from 2001 to 2003 were followed up prospectively for 2 years for treatment outcome and subsequently tracked through the territory-wide tuberculosis notification registry for relapse until the end of 2012.\nSmoking was associated with more extensive lung disease, lung cavitation and positive sputum smear and culture at the baseline. In both current smokers and ex-smokers, sputum smears and cultures were significantly more likely to remain positive after 2 months of treatment. Both categories of smokers were significantly less likely to achieve cure or treatment completion within 2 years. Overall, 16.7% of unsuccessful treatment outcomes were attributable to smoking, with the key contributor being default in current smokers and death in ex-smokers. Among successful treatment completers, there was a clear gradient (hazard ratios of 1.00, 1.33 and 1.63) of relapse risk from never-smokers to ex-smokers and current smokers, with an overall population attributable risk of 19.4% (current smokers: 12.2%; ex-smokers: 7.2%).\nSmoking adversely affects baseline disease severity, bacteriological response, treatment outcome and relapse in tuberculosis. Smoking cessation likely reduces relapse and secondary transmission.\nTweetable abstract @ERSpublications\nclick to tweetSmoking adversely affects treatment response in TB. Smoking cessation reduces relapse and secondary transmission. http://ow.ly/CjFZG","container-title":"European Respiratory Journal","DOI":"10.1183/09031936.00114214","ISSN":"0903-1936, 1399-3003","issue":"3","language":"en","note":"publisher: European Respiratory Society\nsection: Original Articles\nPMID: 25359352","page":"738-745","source":"erj.ersjournals.com","title":"Smoking adversely affects treatment response, outcome and relapse in tuberculosis","volume":"45","author":[{"family":"Leung","given":"Chi C."},{"family":"Yew","given":"Wing W."},{"family":"Chan","given":"Chi K."},{"family":"Chang","given":"Kwok C."},{"family":"Law","given":"Wing S."},{"family":"Lee","given":"Shuk N."},{"family":"Tai","given":"Lai B."},{"family":"Leung","given":"Eric C. C."},{"family":"Au","given":"Ronald K. F."},{"family":"Huang","given":"Shan S."},{"family":"Tam","given":"Cheuk M."}],"issued":{"date-parts":[["2015",3,1]]}}}],"schema":"https://github.com/citation-style-language/schema/raw/master/csl-citation.json"} </w:instrText>
      </w:r>
      <w:r w:rsidR="00421DEC">
        <w:rPr>
          <w:sz w:val="22"/>
          <w:szCs w:val="22"/>
        </w:rPr>
        <w:fldChar w:fldCharType="separate"/>
      </w:r>
      <w:r w:rsidR="001B437E">
        <w:rPr>
          <w:noProof/>
          <w:sz w:val="22"/>
          <w:szCs w:val="22"/>
        </w:rPr>
        <w:t>[3</w:t>
      </w:r>
      <w:r w:rsidR="00E62506">
        <w:rPr>
          <w:noProof/>
          <w:sz w:val="22"/>
          <w:szCs w:val="22"/>
        </w:rPr>
        <w:t>9</w:t>
      </w:r>
      <w:r w:rsidR="001B437E">
        <w:rPr>
          <w:noProof/>
          <w:sz w:val="22"/>
          <w:szCs w:val="22"/>
        </w:rPr>
        <w:t>]</w:t>
      </w:r>
      <w:r w:rsidR="00421DEC">
        <w:rPr>
          <w:sz w:val="22"/>
          <w:szCs w:val="22"/>
        </w:rPr>
        <w:fldChar w:fldCharType="end"/>
      </w:r>
      <w:r w:rsidR="00421DEC">
        <w:rPr>
          <w:sz w:val="22"/>
          <w:szCs w:val="22"/>
        </w:rPr>
        <w:t xml:space="preserve"> </w:t>
      </w:r>
      <w:r w:rsidR="00F20808">
        <w:rPr>
          <w:sz w:val="22"/>
          <w:szCs w:val="22"/>
        </w:rPr>
        <w:t xml:space="preserve">and </w:t>
      </w:r>
      <w:r w:rsidR="00B4505F">
        <w:rPr>
          <w:sz w:val="22"/>
          <w:szCs w:val="22"/>
        </w:rPr>
        <w:t xml:space="preserve">lower survival </w:t>
      </w:r>
      <w:r w:rsidR="00F20808">
        <w:rPr>
          <w:sz w:val="22"/>
          <w:szCs w:val="22"/>
        </w:rPr>
        <w:t>among patients with MDR-TB</w:t>
      </w:r>
      <w:r w:rsidR="00C8254E">
        <w:rPr>
          <w:sz w:val="22"/>
          <w:szCs w:val="22"/>
        </w:rPr>
        <w:t xml:space="preserve"> </w:t>
      </w:r>
      <w:r w:rsidR="007C03D4">
        <w:rPr>
          <w:sz w:val="22"/>
          <w:szCs w:val="22"/>
        </w:rPr>
        <w:fldChar w:fldCharType="begin"/>
      </w:r>
      <w:r w:rsidR="001B437E">
        <w:rPr>
          <w:sz w:val="22"/>
          <w:szCs w:val="22"/>
        </w:rPr>
        <w:instrText xml:space="preserve"> ADDIN ZOTERO_ITEM CSL_CITATION {"citationID":"T9AG2VbD","properties":{"formattedCitation":"[39]","plainCitation":"[39]","noteIndex":0},"citationItems":[{"id":877,"uris":["http://zotero.org/users/4920080/items/CQSJ6BN5"],"uri":["http://zotero.org/users/4920080/items/CQSJ6BN5"],"itemData":{"id":877,"type":"article-journal","container-title":"Thorax","DOI":"10.1136/thoraxjnl-2015-207638","page":"854-861","title":"Survival of patients with multidrug-resistant TB in Eastern Europe: what makes a difference?","volume":"71","author":[{"family":"Balabanova","given":"Yanina"},{"family":"Ignatyeva","given":"Olga"},{"family":"Fiebig","given":"Lena"},{"family":"Riekstina","given":"Vija"},{"family":"Danilovits","given":"Manfred"},{"family":"Jaama","given":"Kadri"},{"family":"Davidaviciene","given":"Edita"},{"family":"Radiulyte","given":"Birute"},{"family":"Popa","given":"Christina Marcela"},{"family":"Nikolayevskyy","given":"Vladyslav"},{"family":"Drobniewski","given":"Francis"}],"issued":{"date-parts":[["2016"]]}}}],"schema":"https://github.com/citation-style-language/schema/raw/master/csl-citation.json"} </w:instrText>
      </w:r>
      <w:r w:rsidR="007C03D4">
        <w:rPr>
          <w:sz w:val="22"/>
          <w:szCs w:val="22"/>
        </w:rPr>
        <w:fldChar w:fldCharType="separate"/>
      </w:r>
      <w:r w:rsidR="001B437E">
        <w:rPr>
          <w:noProof/>
          <w:sz w:val="22"/>
          <w:szCs w:val="22"/>
        </w:rPr>
        <w:t>[</w:t>
      </w:r>
      <w:r w:rsidR="00E62506">
        <w:rPr>
          <w:noProof/>
          <w:sz w:val="22"/>
          <w:szCs w:val="22"/>
        </w:rPr>
        <w:t>40</w:t>
      </w:r>
      <w:r w:rsidR="001B437E">
        <w:rPr>
          <w:noProof/>
          <w:sz w:val="22"/>
          <w:szCs w:val="22"/>
        </w:rPr>
        <w:t>]</w:t>
      </w:r>
      <w:r w:rsidR="007C03D4">
        <w:rPr>
          <w:sz w:val="22"/>
          <w:szCs w:val="22"/>
        </w:rPr>
        <w:fldChar w:fldCharType="end"/>
      </w:r>
      <w:r w:rsidR="00191914">
        <w:rPr>
          <w:sz w:val="22"/>
          <w:szCs w:val="22"/>
        </w:rPr>
        <w:t xml:space="preserve">, while greenness might attenuate the </w:t>
      </w:r>
      <w:r w:rsidR="00715815">
        <w:rPr>
          <w:sz w:val="22"/>
          <w:szCs w:val="22"/>
        </w:rPr>
        <w:t>impact</w:t>
      </w:r>
      <w:r w:rsidR="00F20808">
        <w:rPr>
          <w:sz w:val="22"/>
          <w:szCs w:val="22"/>
        </w:rPr>
        <w:t xml:space="preserve">. </w:t>
      </w:r>
      <w:r w:rsidR="00070781">
        <w:rPr>
          <w:sz w:val="22"/>
          <w:szCs w:val="22"/>
        </w:rPr>
        <w:t>W</w:t>
      </w:r>
      <w:r w:rsidR="005E1DEB">
        <w:rPr>
          <w:sz w:val="22"/>
          <w:szCs w:val="22"/>
        </w:rPr>
        <w:t xml:space="preserve">e could not adjust for smoking as these data were neither available for individuals nor for communities during the follow-up. Future studies should consider adjusting for these potential confounding. </w:t>
      </w:r>
      <w:r w:rsidR="003F7EA4">
        <w:rPr>
          <w:sz w:val="22"/>
          <w:szCs w:val="22"/>
        </w:rPr>
        <w:t xml:space="preserve"> </w:t>
      </w:r>
    </w:p>
    <w:p w14:paraId="390BCEDB" w14:textId="2D30B862" w:rsidR="00B8187B" w:rsidRDefault="00B8187B" w:rsidP="007719C5">
      <w:pPr>
        <w:spacing w:line="480" w:lineRule="auto"/>
        <w:rPr>
          <w:bCs/>
          <w:sz w:val="22"/>
          <w:szCs w:val="22"/>
        </w:rPr>
      </w:pPr>
    </w:p>
    <w:p w14:paraId="0162923A" w14:textId="0C6BD28A" w:rsidR="003D6F0C" w:rsidRPr="004B581A" w:rsidRDefault="005E1DEB" w:rsidP="007719C5">
      <w:pPr>
        <w:spacing w:line="480" w:lineRule="auto"/>
        <w:rPr>
          <w:sz w:val="22"/>
          <w:szCs w:val="22"/>
        </w:rPr>
      </w:pPr>
      <w:r>
        <w:rPr>
          <w:bCs/>
          <w:sz w:val="22"/>
          <w:szCs w:val="22"/>
        </w:rPr>
        <w:t xml:space="preserve">In conclusion, </w:t>
      </w:r>
      <w:r w:rsidR="00CA1FEA">
        <w:rPr>
          <w:bCs/>
          <w:sz w:val="22"/>
          <w:szCs w:val="22"/>
        </w:rPr>
        <w:t xml:space="preserve">this large MDR-TB cohort study adds evidence of greenness which benefits survival by </w:t>
      </w:r>
      <w:r w:rsidR="00891842">
        <w:rPr>
          <w:bCs/>
          <w:sz w:val="22"/>
          <w:szCs w:val="22"/>
        </w:rPr>
        <w:t>attenuating the association between PM</w:t>
      </w:r>
      <w:r w:rsidR="00891842" w:rsidRPr="00891842">
        <w:rPr>
          <w:bCs/>
          <w:sz w:val="22"/>
          <w:szCs w:val="22"/>
          <w:vertAlign w:val="subscript"/>
        </w:rPr>
        <w:t>2.5</w:t>
      </w:r>
      <w:r w:rsidR="00891842">
        <w:rPr>
          <w:bCs/>
          <w:sz w:val="22"/>
          <w:szCs w:val="22"/>
        </w:rPr>
        <w:t xml:space="preserve"> and mortality among MDR-TB</w:t>
      </w:r>
      <w:r w:rsidR="00BD0292">
        <w:rPr>
          <w:bCs/>
          <w:sz w:val="22"/>
          <w:szCs w:val="22"/>
        </w:rPr>
        <w:t xml:space="preserve"> patients</w:t>
      </w:r>
      <w:r w:rsidR="00891842">
        <w:rPr>
          <w:bCs/>
          <w:sz w:val="22"/>
          <w:szCs w:val="22"/>
        </w:rPr>
        <w:t xml:space="preserve">. Improving green space and air quality, along with effective treatments, may contribute to the reduction of mortality </w:t>
      </w:r>
      <w:r w:rsidR="00F57EDF">
        <w:rPr>
          <w:bCs/>
          <w:sz w:val="22"/>
          <w:szCs w:val="22"/>
        </w:rPr>
        <w:t>for MDR-TB</w:t>
      </w:r>
      <w:r w:rsidR="00891842">
        <w:rPr>
          <w:bCs/>
          <w:sz w:val="22"/>
          <w:szCs w:val="22"/>
        </w:rPr>
        <w:t xml:space="preserve">. </w:t>
      </w:r>
      <w:r w:rsidR="003D6F0C" w:rsidRPr="00FA5410">
        <w:rPr>
          <w:bCs/>
          <w:sz w:val="22"/>
          <w:szCs w:val="22"/>
        </w:rPr>
        <w:br w:type="page"/>
      </w:r>
    </w:p>
    <w:p w14:paraId="778AA0E8" w14:textId="7CC0895C" w:rsidR="00C65520" w:rsidRDefault="008135A2" w:rsidP="00C213B6">
      <w:pPr>
        <w:spacing w:line="360" w:lineRule="auto"/>
        <w:rPr>
          <w:b/>
          <w:bCs/>
          <w:sz w:val="22"/>
          <w:szCs w:val="22"/>
        </w:rPr>
      </w:pPr>
      <w:r>
        <w:rPr>
          <w:b/>
          <w:bCs/>
          <w:sz w:val="22"/>
          <w:szCs w:val="22"/>
        </w:rPr>
        <w:lastRenderedPageBreak/>
        <w:t>Reference</w:t>
      </w:r>
    </w:p>
    <w:p w14:paraId="007BFDC9" w14:textId="77777777" w:rsidR="001B437E" w:rsidRPr="001B437E" w:rsidRDefault="002E2AC6" w:rsidP="001B437E">
      <w:pPr>
        <w:pStyle w:val="Bibliography"/>
        <w:rPr>
          <w:rFonts w:ascii="Calibri" w:cs="Calibri"/>
          <w:sz w:val="22"/>
          <w:lang w:val="en-US"/>
        </w:rPr>
      </w:pPr>
      <w:r>
        <w:rPr>
          <w:b/>
          <w:bCs/>
          <w:sz w:val="22"/>
          <w:szCs w:val="22"/>
        </w:rPr>
        <w:fldChar w:fldCharType="begin"/>
      </w:r>
      <w:r>
        <w:rPr>
          <w:b/>
          <w:bCs/>
          <w:sz w:val="22"/>
          <w:szCs w:val="22"/>
        </w:rPr>
        <w:instrText xml:space="preserve"> ADDIN ZOTERO_BIBL {"uncited":[],"omitted":[],"custom":[]} CSL_BIBLIOGRAPHY </w:instrText>
      </w:r>
      <w:r>
        <w:rPr>
          <w:b/>
          <w:bCs/>
          <w:sz w:val="22"/>
          <w:szCs w:val="22"/>
        </w:rPr>
        <w:fldChar w:fldCharType="separate"/>
      </w:r>
      <w:r w:rsidR="001B437E" w:rsidRPr="001B437E">
        <w:rPr>
          <w:rFonts w:ascii="Calibri" w:cs="Calibri"/>
          <w:sz w:val="22"/>
          <w:lang w:val="en-US"/>
        </w:rPr>
        <w:t xml:space="preserve">1. </w:t>
      </w:r>
      <w:r w:rsidR="001B437E" w:rsidRPr="001B437E">
        <w:rPr>
          <w:rFonts w:ascii="Calibri" w:cs="Calibri"/>
          <w:sz w:val="22"/>
          <w:lang w:val="en-US"/>
        </w:rPr>
        <w:tab/>
        <w:t xml:space="preserve">Torres M, Carranza C, Sarkar S, Gonzalez Y, Osornio Vargas A, Black K, Meng Q, Quintana-Belmares R, Hernandez M, Angeles Garcia JJF, Páramo-Figueroa VH, Iñiguez-Garcia MA, Flores JL, Zhang JJ, Gardner CR, Ohman-Strickland P, Schwander S. Urban airborne particle exposure impairs human lung and blood Mycobacterium tuberculosis immunity. </w:t>
      </w:r>
      <w:r w:rsidR="001B437E" w:rsidRPr="001B437E">
        <w:rPr>
          <w:rFonts w:ascii="Calibri" w:cs="Calibri"/>
          <w:i/>
          <w:iCs/>
          <w:sz w:val="22"/>
          <w:lang w:val="en-US"/>
        </w:rPr>
        <w:t>Thorax</w:t>
      </w:r>
      <w:r w:rsidR="001B437E" w:rsidRPr="001B437E">
        <w:rPr>
          <w:rFonts w:ascii="Calibri" w:cs="Calibri"/>
          <w:sz w:val="22"/>
          <w:lang w:val="en-US"/>
        </w:rPr>
        <w:t xml:space="preserve"> 2019; 74: 675–683.</w:t>
      </w:r>
    </w:p>
    <w:p w14:paraId="2FC3B0DB"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 </w:t>
      </w:r>
      <w:r w:rsidRPr="001B437E">
        <w:rPr>
          <w:rFonts w:ascii="Calibri" w:cs="Calibri"/>
          <w:sz w:val="22"/>
          <w:lang w:val="en-US"/>
        </w:rPr>
        <w:tab/>
        <w:t xml:space="preserve">Sarkar S, Rivas-Santiago CE, Ibironke OA, Carranza C, Meng Q, Osornio-Vargas Á, Zhang J, Torres M, Chow JC, Watson JG, Ohman-Strickland P, Schwander S. Season and size of urban particulate matter differentially affect cytotoxicity and human immune responses to Mycobacterium tuberculosis. </w:t>
      </w:r>
      <w:r w:rsidRPr="001B437E">
        <w:rPr>
          <w:rFonts w:ascii="Calibri" w:cs="Calibri"/>
          <w:i/>
          <w:iCs/>
          <w:sz w:val="22"/>
          <w:lang w:val="en-US"/>
        </w:rPr>
        <w:t>PLoS ONE</w:t>
      </w:r>
      <w:r w:rsidRPr="001B437E">
        <w:rPr>
          <w:rFonts w:ascii="Calibri" w:cs="Calibri"/>
          <w:sz w:val="22"/>
          <w:lang w:val="en-US"/>
        </w:rPr>
        <w:t xml:space="preserve"> 2019; 14: e0219122.</w:t>
      </w:r>
    </w:p>
    <w:p w14:paraId="01649B2E" w14:textId="2170B898"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3. </w:t>
      </w:r>
      <w:r w:rsidRPr="001B437E">
        <w:rPr>
          <w:rFonts w:ascii="Calibri" w:cs="Calibri"/>
          <w:sz w:val="22"/>
          <w:lang w:val="en-US"/>
        </w:rPr>
        <w:tab/>
        <w:t xml:space="preserve">Blount RJ, Pascopella L, Catanzaro DG, Barry PM, English PB, Segal MR, Flood J, Meltzer D, Jones B, Balmes J, Nahid P. Traffic-Related Air Pollution and All-Cause Mortality during Tuberculosis Treatment in California. </w:t>
      </w:r>
      <w:r w:rsidRPr="001B437E">
        <w:rPr>
          <w:rFonts w:ascii="Calibri" w:cs="Calibri"/>
          <w:i/>
          <w:iCs/>
          <w:sz w:val="22"/>
          <w:lang w:val="en-US"/>
        </w:rPr>
        <w:t>Environ Health Perspect</w:t>
      </w:r>
      <w:r w:rsidR="00956520">
        <w:rPr>
          <w:rFonts w:ascii="Calibri" w:cs="Calibri"/>
          <w:i/>
          <w:iCs/>
          <w:sz w:val="22"/>
          <w:lang w:val="en-US"/>
        </w:rPr>
        <w:t>.</w:t>
      </w:r>
      <w:r w:rsidR="001D0857">
        <w:rPr>
          <w:rFonts w:ascii="Calibri" w:cs="Calibri"/>
          <w:sz w:val="22"/>
          <w:lang w:val="en-US"/>
        </w:rPr>
        <w:t xml:space="preserve"> </w:t>
      </w:r>
      <w:r w:rsidR="00F37AEB">
        <w:rPr>
          <w:rFonts w:ascii="Calibri" w:cs="Calibri"/>
          <w:sz w:val="22"/>
          <w:lang w:val="en-US"/>
        </w:rPr>
        <w:t>2017</w:t>
      </w:r>
      <w:r w:rsidR="008859ED">
        <w:rPr>
          <w:rFonts w:ascii="Calibri" w:cs="Calibri"/>
          <w:sz w:val="22"/>
          <w:lang w:val="en-US"/>
        </w:rPr>
        <w:t xml:space="preserve">; 125(9): </w:t>
      </w:r>
      <w:r w:rsidR="00D470C8">
        <w:rPr>
          <w:rFonts w:ascii="Calibri" w:cs="Calibri"/>
          <w:sz w:val="22"/>
          <w:lang w:val="en-US"/>
        </w:rPr>
        <w:t>097026</w:t>
      </w:r>
      <w:r w:rsidR="00FD3329">
        <w:rPr>
          <w:rFonts w:ascii="Calibri" w:cs="Calibri"/>
          <w:sz w:val="22"/>
          <w:lang w:val="en-US"/>
        </w:rPr>
        <w:t>-1-11</w:t>
      </w:r>
      <w:r w:rsidRPr="001B437E">
        <w:rPr>
          <w:rFonts w:ascii="Calibri" w:cs="Calibri"/>
          <w:sz w:val="22"/>
          <w:lang w:val="en-US"/>
        </w:rPr>
        <w:t>.</w:t>
      </w:r>
    </w:p>
    <w:p w14:paraId="0BA1D59F"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4. </w:t>
      </w:r>
      <w:r w:rsidRPr="001B437E">
        <w:rPr>
          <w:rFonts w:ascii="Calibri" w:cs="Calibri"/>
          <w:sz w:val="22"/>
          <w:lang w:val="en-US"/>
        </w:rPr>
        <w:tab/>
        <w:t xml:space="preserve">Popovic I, Soares Magalhaes RJ, Ge E, Marks GB, Dong G-H, Wei X, Knibbs LD. A systematic literature review and critical appraisal of epidemiological studies on outdoor air pollution and tuberculosis outcomes. </w:t>
      </w:r>
      <w:r w:rsidRPr="001B437E">
        <w:rPr>
          <w:rFonts w:ascii="Calibri" w:cs="Calibri"/>
          <w:i/>
          <w:iCs/>
          <w:sz w:val="22"/>
          <w:lang w:val="en-US"/>
        </w:rPr>
        <w:t>Environmental Research</w:t>
      </w:r>
      <w:r w:rsidRPr="001B437E">
        <w:rPr>
          <w:rFonts w:ascii="Calibri" w:cs="Calibri"/>
          <w:sz w:val="22"/>
          <w:lang w:val="en-US"/>
        </w:rPr>
        <w:t xml:space="preserve"> 2019; 170: 33–45.</w:t>
      </w:r>
    </w:p>
    <w:p w14:paraId="5A8CDC70"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5. </w:t>
      </w:r>
      <w:r w:rsidRPr="001B437E">
        <w:rPr>
          <w:rFonts w:ascii="Calibri" w:cs="Calibri"/>
          <w:sz w:val="22"/>
          <w:lang w:val="en-US"/>
        </w:rPr>
        <w:tab/>
        <w:t xml:space="preserve">Smith GS, Van Den Eeden SK, Garcia C, Shan J, Baxter R, Herring AH, Richardson DB, Van Rie A, Emch M, Gammon MD. Air Pollution and Pulmonary Tuberculosis: A Nested Case-Control Study among Members of a Northern California Health Plan. </w:t>
      </w:r>
      <w:r w:rsidRPr="001B437E">
        <w:rPr>
          <w:rFonts w:ascii="Calibri" w:cs="Calibri"/>
          <w:i/>
          <w:iCs/>
          <w:sz w:val="22"/>
          <w:lang w:val="en-US"/>
        </w:rPr>
        <w:t>Environ. Health Perspect.</w:t>
      </w:r>
      <w:r w:rsidRPr="001B437E">
        <w:rPr>
          <w:rFonts w:ascii="Calibri" w:cs="Calibri"/>
          <w:sz w:val="22"/>
          <w:lang w:val="en-US"/>
        </w:rPr>
        <w:t xml:space="preserve"> 2016; 124: 761–768.</w:t>
      </w:r>
    </w:p>
    <w:p w14:paraId="68F18DB3"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6. </w:t>
      </w:r>
      <w:r w:rsidRPr="001B437E">
        <w:rPr>
          <w:rFonts w:ascii="Calibri" w:cs="Calibri"/>
          <w:sz w:val="22"/>
          <w:lang w:val="en-US"/>
        </w:rPr>
        <w:tab/>
        <w:t xml:space="preserve">Lai T-C, Chiang C-Y, Wu C-F, Yang S-L, Liu D-P, Chan C-C, Lin H-H. Ambient air pollution and risk of tuberculosis: a cohort study. </w:t>
      </w:r>
      <w:r w:rsidRPr="001B437E">
        <w:rPr>
          <w:rFonts w:ascii="Calibri" w:cs="Calibri"/>
          <w:i/>
          <w:iCs/>
          <w:sz w:val="22"/>
          <w:lang w:val="en-US"/>
        </w:rPr>
        <w:t>Occup Environ Med</w:t>
      </w:r>
      <w:r w:rsidRPr="001B437E">
        <w:rPr>
          <w:rFonts w:ascii="Calibri" w:cs="Calibri"/>
          <w:sz w:val="22"/>
          <w:lang w:val="en-US"/>
        </w:rPr>
        <w:t xml:space="preserve"> BMJ Publishing Group Ltd; 2016; 73: 56–61.</w:t>
      </w:r>
    </w:p>
    <w:p w14:paraId="15D60424"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7. </w:t>
      </w:r>
      <w:r w:rsidRPr="001B437E">
        <w:rPr>
          <w:rFonts w:ascii="Calibri" w:cs="Calibri"/>
          <w:sz w:val="22"/>
          <w:lang w:val="en-US"/>
        </w:rPr>
        <w:tab/>
        <w:t xml:space="preserve">Yao L, LiangLiang C, JinYue L, WanMei S, Lili S, YiFan L, HuaiChen L. Ambient air pollution exposures and risk of drug-resistant tuberculosis. </w:t>
      </w:r>
      <w:r w:rsidRPr="001B437E">
        <w:rPr>
          <w:rFonts w:ascii="Calibri" w:cs="Calibri"/>
          <w:i/>
          <w:iCs/>
          <w:sz w:val="22"/>
          <w:lang w:val="en-US"/>
        </w:rPr>
        <w:t>Environment International</w:t>
      </w:r>
      <w:r w:rsidRPr="001B437E">
        <w:rPr>
          <w:rFonts w:ascii="Calibri" w:cs="Calibri"/>
          <w:sz w:val="22"/>
          <w:lang w:val="en-US"/>
        </w:rPr>
        <w:t xml:space="preserve"> 2019; 124: 161–169.</w:t>
      </w:r>
    </w:p>
    <w:p w14:paraId="4E699312"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8. </w:t>
      </w:r>
      <w:r w:rsidRPr="001B437E">
        <w:rPr>
          <w:rFonts w:ascii="Calibri" w:cs="Calibri"/>
          <w:sz w:val="22"/>
          <w:lang w:val="en-US"/>
        </w:rPr>
        <w:tab/>
        <w:t xml:space="preserve">Markevych I, Schoierer J, Hartig T, Chudnovsky A, Hystad P, Dzhambov AM, de Vries S, Triguero-Mas M, Brauer M, Nieuwenhuijsen MJ, Lupp G, Richardson EA, Astell-Burt T, Dimitrova D, Feng X, Sadeh M, Standl M, Heinrich J, Fuertes E. Exploring pathways linking greenspace to health: Theoretical and methodological guidance. </w:t>
      </w:r>
      <w:r w:rsidRPr="001B437E">
        <w:rPr>
          <w:rFonts w:ascii="Calibri" w:cs="Calibri"/>
          <w:i/>
          <w:iCs/>
          <w:sz w:val="22"/>
          <w:lang w:val="en-US"/>
        </w:rPr>
        <w:t>Environ. Res.</w:t>
      </w:r>
      <w:r w:rsidRPr="001B437E">
        <w:rPr>
          <w:rFonts w:ascii="Calibri" w:cs="Calibri"/>
          <w:sz w:val="22"/>
          <w:lang w:val="en-US"/>
        </w:rPr>
        <w:t xml:space="preserve"> 2017; 158: 301–317.</w:t>
      </w:r>
    </w:p>
    <w:p w14:paraId="433C0A02"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9. </w:t>
      </w:r>
      <w:r w:rsidRPr="001B437E">
        <w:rPr>
          <w:rFonts w:ascii="Calibri" w:cs="Calibri"/>
          <w:sz w:val="22"/>
          <w:lang w:val="en-US"/>
        </w:rPr>
        <w:tab/>
        <w:t xml:space="preserve">Crouse DL, Pinault L, Balram A, Brauer M, Burnett RT, Martin RV, van Donkelaar A, Villeneuve PJ, Weichenthal S. Complex relationships between greenness, air pollution, and mortality in a population-based Canadian cohort. </w:t>
      </w:r>
      <w:r w:rsidRPr="001B437E">
        <w:rPr>
          <w:rFonts w:ascii="Calibri" w:cs="Calibri"/>
          <w:i/>
          <w:iCs/>
          <w:sz w:val="22"/>
          <w:lang w:val="en-US"/>
        </w:rPr>
        <w:t>Environment International</w:t>
      </w:r>
      <w:r w:rsidRPr="001B437E">
        <w:rPr>
          <w:rFonts w:ascii="Calibri" w:cs="Calibri"/>
          <w:sz w:val="22"/>
          <w:lang w:val="en-US"/>
        </w:rPr>
        <w:t xml:space="preserve"> 2019; 128: 292–300.</w:t>
      </w:r>
    </w:p>
    <w:p w14:paraId="7158BADA"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10. </w:t>
      </w:r>
      <w:r w:rsidRPr="001B437E">
        <w:rPr>
          <w:rFonts w:ascii="Calibri" w:cs="Calibri"/>
          <w:sz w:val="22"/>
          <w:lang w:val="en-US"/>
        </w:rPr>
        <w:tab/>
        <w:t xml:space="preserve">Ji JS, Zhu A, Lv Y, Shi X. Interaction between residential greenness and air pollution mortality: analysis of the Chinese Longitudinal Healthy Longevity Survey. </w:t>
      </w:r>
      <w:r w:rsidRPr="001B437E">
        <w:rPr>
          <w:rFonts w:ascii="Calibri" w:cs="Calibri"/>
          <w:i/>
          <w:iCs/>
          <w:sz w:val="22"/>
          <w:lang w:val="en-US"/>
        </w:rPr>
        <w:t>The Lancet Planetary Health</w:t>
      </w:r>
      <w:r w:rsidRPr="001B437E">
        <w:rPr>
          <w:rFonts w:ascii="Calibri" w:cs="Calibri"/>
          <w:sz w:val="22"/>
          <w:lang w:val="en-US"/>
        </w:rPr>
        <w:t xml:space="preserve"> Elsevier; 2020; 4: e107–e115.</w:t>
      </w:r>
    </w:p>
    <w:p w14:paraId="74052C03" w14:textId="01CEEB2B"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11. </w:t>
      </w:r>
      <w:r w:rsidRPr="001B437E">
        <w:rPr>
          <w:rFonts w:ascii="Calibri" w:cs="Calibri"/>
          <w:sz w:val="22"/>
          <w:lang w:val="en-US"/>
        </w:rPr>
        <w:tab/>
        <w:t>Chinese Government and Foundation Announce Partnership to Fight Tuberculosis - Bill &amp; Melinda Gates Foundation.</w:t>
      </w:r>
      <w:r w:rsidR="00776B4D">
        <w:rPr>
          <w:rFonts w:ascii="Calibri" w:cs="Calibri"/>
          <w:sz w:val="22"/>
          <w:lang w:val="en-US"/>
        </w:rPr>
        <w:t xml:space="preserve"> </w:t>
      </w:r>
      <w:r w:rsidRPr="001B437E">
        <w:rPr>
          <w:rFonts w:ascii="Calibri" w:cs="Calibri"/>
          <w:sz w:val="22"/>
          <w:lang w:val="en-US"/>
        </w:rPr>
        <w:t>Available from: https://www.gatesfoundation.org/Media-Center/Press-Releases/2009/04/Chinese-Government-and-Foundation-Announce-Partnership-to-Fight-Tuberculosis.</w:t>
      </w:r>
      <w:r w:rsidR="009209C7">
        <w:rPr>
          <w:rFonts w:ascii="Calibri" w:cs="Calibri"/>
          <w:sz w:val="22"/>
          <w:lang w:val="en-US"/>
        </w:rPr>
        <w:t>(Latest access on Jun 16, 2020)</w:t>
      </w:r>
    </w:p>
    <w:p w14:paraId="057661CF" w14:textId="4D80F8DC" w:rsidR="001B437E" w:rsidRPr="001B437E" w:rsidRDefault="001B437E" w:rsidP="001B437E">
      <w:pPr>
        <w:pStyle w:val="Bibliography"/>
        <w:rPr>
          <w:rFonts w:ascii="Calibri" w:cs="Calibri"/>
          <w:sz w:val="22"/>
          <w:lang w:val="en-US"/>
        </w:rPr>
      </w:pPr>
      <w:r w:rsidRPr="001B437E">
        <w:rPr>
          <w:rFonts w:ascii="Calibri" w:cs="Calibri"/>
          <w:sz w:val="22"/>
          <w:lang w:val="en-US"/>
        </w:rPr>
        <w:lastRenderedPageBreak/>
        <w:t xml:space="preserve">12. </w:t>
      </w:r>
      <w:r w:rsidRPr="001B437E">
        <w:rPr>
          <w:rFonts w:ascii="Calibri" w:cs="Calibri"/>
          <w:sz w:val="22"/>
          <w:lang w:val="en-US"/>
        </w:rPr>
        <w:tab/>
        <w:t>Wang N, Li T, Du X, Li Y, Sun M, Huan S, Zhang H, Wang L, Chen M, Huang F, Zhao Y. Effectiveness of the Integrated TB Surveillance System — China, 2018–2019. China CDC Weekly; 2020; 2</w:t>
      </w:r>
      <w:r w:rsidR="004B3480">
        <w:rPr>
          <w:rFonts w:ascii="Calibri" w:cs="Calibri"/>
          <w:sz w:val="22"/>
          <w:lang w:val="en-US"/>
        </w:rPr>
        <w:t xml:space="preserve"> </w:t>
      </w:r>
      <w:r w:rsidR="004B3480">
        <w:rPr>
          <w:rFonts w:ascii="Calibri" w:cs="Calibri"/>
          <w:sz w:val="22"/>
        </w:rPr>
        <w:t>(12)</w:t>
      </w:r>
      <w:r w:rsidRPr="001B437E">
        <w:rPr>
          <w:rFonts w:ascii="Calibri" w:cs="Calibri"/>
          <w:sz w:val="22"/>
          <w:lang w:val="en-US"/>
        </w:rPr>
        <w:t>: 190–193.</w:t>
      </w:r>
    </w:p>
    <w:p w14:paraId="2992F946" w14:textId="67D7DE85"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13. </w:t>
      </w:r>
      <w:r w:rsidRPr="001B437E">
        <w:rPr>
          <w:rFonts w:ascii="Calibri" w:cs="Calibri"/>
          <w:sz w:val="22"/>
          <w:lang w:val="en-US"/>
        </w:rPr>
        <w:tab/>
        <w:t xml:space="preserve">Weichenthal S, Pinault LL, Burnett RT. Impact of Oxidant Gases on the Relationship between Outdoor Fine Particulate Air Pollution and Nonaccidental, Cardiovascular, and Respiratory Mortality. </w:t>
      </w:r>
      <w:r w:rsidRPr="001B437E">
        <w:rPr>
          <w:rFonts w:ascii="Calibri" w:cs="Calibri"/>
          <w:i/>
          <w:iCs/>
          <w:sz w:val="22"/>
          <w:lang w:val="en-US"/>
        </w:rPr>
        <w:t>Scientific Reports</w:t>
      </w:r>
      <w:r w:rsidRPr="001B437E">
        <w:rPr>
          <w:rFonts w:ascii="Calibri" w:cs="Calibri"/>
          <w:sz w:val="22"/>
          <w:lang w:val="en-US"/>
        </w:rPr>
        <w:t>; 2017; 7: 16401.</w:t>
      </w:r>
    </w:p>
    <w:p w14:paraId="0671B951" w14:textId="77777777" w:rsidR="001B437E" w:rsidRPr="007264CA" w:rsidRDefault="001B437E" w:rsidP="001B437E">
      <w:pPr>
        <w:pStyle w:val="Bibliography"/>
        <w:rPr>
          <w:rFonts w:ascii="Calibri" w:cs="Calibri"/>
          <w:sz w:val="22"/>
        </w:rPr>
      </w:pPr>
      <w:r w:rsidRPr="001B437E">
        <w:rPr>
          <w:rFonts w:ascii="Calibri" w:cs="Calibri"/>
          <w:sz w:val="22"/>
          <w:lang w:val="en-US"/>
        </w:rPr>
        <w:t xml:space="preserve">14. </w:t>
      </w:r>
      <w:r w:rsidRPr="001B437E">
        <w:rPr>
          <w:rFonts w:ascii="Calibri" w:cs="Calibri"/>
          <w:sz w:val="22"/>
          <w:lang w:val="en-US"/>
        </w:rPr>
        <w:tab/>
        <w:t xml:space="preserve">Williams ML, Atkinson RW, Anderson HR, Kelly FJ. Associations between daily mortality in London and combined oxidant capacity, ozone and nitrogen dioxide. </w:t>
      </w:r>
      <w:r w:rsidRPr="001B437E">
        <w:rPr>
          <w:rFonts w:ascii="Calibri" w:cs="Calibri"/>
          <w:i/>
          <w:iCs/>
          <w:sz w:val="22"/>
          <w:lang w:val="en-US"/>
        </w:rPr>
        <w:t>Air Qual Atmos Health</w:t>
      </w:r>
      <w:r w:rsidRPr="001B437E">
        <w:rPr>
          <w:rFonts w:ascii="Calibri" w:cs="Calibri"/>
          <w:sz w:val="22"/>
          <w:lang w:val="en-US"/>
        </w:rPr>
        <w:t xml:space="preserve"> 2014; 7: 407–414.</w:t>
      </w:r>
    </w:p>
    <w:p w14:paraId="01C7DF17" w14:textId="77777777" w:rsidR="002756EA" w:rsidRDefault="001B437E" w:rsidP="002756EA">
      <w:pPr>
        <w:pStyle w:val="Bibliography"/>
        <w:rPr>
          <w:rFonts w:ascii="Calibri" w:cs="Calibri"/>
          <w:sz w:val="22"/>
          <w:lang w:val="en-US"/>
        </w:rPr>
      </w:pPr>
      <w:r w:rsidRPr="001B437E">
        <w:rPr>
          <w:rFonts w:ascii="Calibri" w:cs="Calibri"/>
          <w:sz w:val="22"/>
          <w:lang w:val="en-US"/>
        </w:rPr>
        <w:t xml:space="preserve">15. </w:t>
      </w:r>
      <w:r w:rsidRPr="001B437E">
        <w:rPr>
          <w:rFonts w:ascii="Calibri" w:cs="Calibri"/>
          <w:sz w:val="22"/>
          <w:lang w:val="en-US"/>
        </w:rPr>
        <w:tab/>
        <w:t xml:space="preserve">Ge E, Zhang X, Wang X, Wei X. Spatial and temporal analysis of tuberculosis in Zhejiang Province, China, 2009-2012. </w:t>
      </w:r>
      <w:r w:rsidRPr="001B437E">
        <w:rPr>
          <w:rFonts w:ascii="Calibri" w:cs="Calibri"/>
          <w:i/>
          <w:iCs/>
          <w:sz w:val="22"/>
          <w:lang w:val="en-US"/>
        </w:rPr>
        <w:t xml:space="preserve">Infect Dis </w:t>
      </w:r>
      <w:proofErr w:type="gramStart"/>
      <w:r w:rsidRPr="001B437E">
        <w:rPr>
          <w:rFonts w:ascii="Calibri" w:cs="Calibri"/>
          <w:i/>
          <w:iCs/>
          <w:sz w:val="22"/>
          <w:lang w:val="en-US"/>
        </w:rPr>
        <w:t>Poverty</w:t>
      </w:r>
      <w:r w:rsidRPr="001B437E">
        <w:rPr>
          <w:rFonts w:ascii="Calibri" w:cs="Calibri"/>
          <w:sz w:val="22"/>
          <w:lang w:val="en-US"/>
        </w:rPr>
        <w:t xml:space="preserve">  2016</w:t>
      </w:r>
      <w:proofErr w:type="gramEnd"/>
      <w:r w:rsidRPr="001B437E">
        <w:rPr>
          <w:rFonts w:ascii="Calibri" w:cs="Calibri"/>
          <w:sz w:val="22"/>
          <w:lang w:val="en-US"/>
        </w:rPr>
        <w:t>;</w:t>
      </w:r>
      <w:r w:rsidR="00956520">
        <w:rPr>
          <w:rFonts w:ascii="Calibri" w:cs="Calibri"/>
          <w:sz w:val="22"/>
          <w:lang w:val="en-US"/>
        </w:rPr>
        <w:t xml:space="preserve"> </w:t>
      </w:r>
      <w:r w:rsidR="0081248E">
        <w:rPr>
          <w:rFonts w:ascii="Calibri" w:cs="Calibri" w:hint="eastAsia"/>
          <w:sz w:val="22"/>
          <w:lang w:val="en-US"/>
        </w:rPr>
        <w:t>5</w:t>
      </w:r>
      <w:r w:rsidR="0081248E">
        <w:rPr>
          <w:rFonts w:ascii="Calibri" w:cs="Calibri"/>
          <w:sz w:val="22"/>
          <w:lang w:val="en-US"/>
        </w:rPr>
        <w:t xml:space="preserve"> </w:t>
      </w:r>
      <w:r w:rsidR="0081248E">
        <w:rPr>
          <w:rFonts w:ascii="Calibri" w:cs="Calibri"/>
          <w:sz w:val="22"/>
        </w:rPr>
        <w:t>(11)</w:t>
      </w:r>
      <w:r w:rsidR="00FD4294">
        <w:rPr>
          <w:rFonts w:ascii="Calibri" w:cs="Calibri"/>
          <w:sz w:val="22"/>
        </w:rPr>
        <w:t xml:space="preserve">, </w:t>
      </w:r>
      <w:r w:rsidR="00FD4294" w:rsidRPr="00155244">
        <w:rPr>
          <w:rFonts w:ascii="Calibri" w:cs="Calibri"/>
          <w:i/>
          <w:iCs/>
          <w:sz w:val="22"/>
        </w:rPr>
        <w:t>doi</w:t>
      </w:r>
      <w:r w:rsidR="00FD4294">
        <w:rPr>
          <w:rFonts w:ascii="Calibri" w:cs="Calibri"/>
          <w:sz w:val="22"/>
        </w:rPr>
        <w:t>: 10.1186/s40249-016-0104-2</w:t>
      </w:r>
      <w:r w:rsidRPr="001B437E">
        <w:rPr>
          <w:rFonts w:ascii="Calibri" w:cs="Calibri"/>
          <w:sz w:val="22"/>
          <w:lang w:val="en-US"/>
        </w:rPr>
        <w:t>.</w:t>
      </w:r>
    </w:p>
    <w:p w14:paraId="30EB5A4B" w14:textId="77777777" w:rsidR="002756EA" w:rsidRDefault="002756EA" w:rsidP="002756EA">
      <w:pPr>
        <w:pStyle w:val="Bibliography"/>
        <w:rPr>
          <w:rFonts w:ascii="Calibri" w:cs="Calibri"/>
          <w:sz w:val="22"/>
          <w:lang w:val="en-US"/>
        </w:rPr>
      </w:pPr>
      <w:r>
        <w:rPr>
          <w:rFonts w:ascii="Calibri" w:cs="Calibri"/>
          <w:sz w:val="22"/>
          <w:lang w:val="en-US"/>
        </w:rPr>
        <w:t>16.</w:t>
      </w:r>
      <w:r>
        <w:rPr>
          <w:rFonts w:ascii="Calibri" w:cs="Calibri"/>
          <w:sz w:val="22"/>
          <w:lang w:val="en-US"/>
        </w:rPr>
        <w:tab/>
      </w:r>
      <w:r w:rsidR="005E63B5">
        <w:rPr>
          <w:rFonts w:ascii="Calibri" w:cs="Calibri"/>
          <w:sz w:val="22"/>
          <w:lang w:val="en-US"/>
        </w:rPr>
        <w:t>Wei J, Li Z, Cribb M, Huang W, Xue W, Sun L, Guo J, Peng Y, Li J, Lyapustin A, Liu L, Wu H, Song Y. Improved 1km resolution PM</w:t>
      </w:r>
      <w:r w:rsidR="005E63B5">
        <w:rPr>
          <w:rFonts w:ascii="Calibri" w:cs="Calibri"/>
          <w:sz w:val="22"/>
          <w:vertAlign w:val="subscript"/>
          <w:lang w:val="en-US"/>
        </w:rPr>
        <w:t>2.5</w:t>
      </w:r>
      <w:r w:rsidR="005E63B5">
        <w:rPr>
          <w:rFonts w:ascii="Calibri" w:cs="Calibri"/>
          <w:sz w:val="22"/>
          <w:lang w:val="en-US"/>
        </w:rPr>
        <w:t xml:space="preserve"> estimates across China using enhanced space–time extremely randomized trees. </w:t>
      </w:r>
      <w:r w:rsidR="005E63B5">
        <w:rPr>
          <w:rFonts w:ascii="Calibri" w:cs="Calibri"/>
          <w:i/>
          <w:iCs/>
          <w:sz w:val="22"/>
          <w:lang w:val="en-US"/>
        </w:rPr>
        <w:t>Atmos. Chem. Phys.</w:t>
      </w:r>
      <w:r w:rsidR="005E63B5">
        <w:rPr>
          <w:rFonts w:ascii="Calibri" w:cs="Calibri"/>
          <w:sz w:val="22"/>
          <w:lang w:val="en-US"/>
        </w:rPr>
        <w:t xml:space="preserve"> 2020; 20: 3273–3289.</w:t>
      </w:r>
      <w:r w:rsidR="00BC1F8F">
        <w:rPr>
          <w:rFonts w:ascii="Calibri" w:cs="Calibri"/>
          <w:sz w:val="22"/>
          <w:lang w:val="en-US"/>
        </w:rPr>
        <w:t>17.</w:t>
      </w:r>
    </w:p>
    <w:p w14:paraId="13DC83C6" w14:textId="4DBDABC0" w:rsidR="002A3278" w:rsidRDefault="002756EA" w:rsidP="002756EA">
      <w:pPr>
        <w:pStyle w:val="Bibliography"/>
        <w:rPr>
          <w:rFonts w:ascii="Calibri" w:cs="Calibri"/>
          <w:sz w:val="22"/>
          <w:lang w:val="en-US"/>
        </w:rPr>
      </w:pPr>
      <w:r>
        <w:rPr>
          <w:rFonts w:ascii="Calibri" w:cs="Calibri"/>
          <w:sz w:val="22"/>
          <w:lang w:val="en-US"/>
        </w:rPr>
        <w:t>17.</w:t>
      </w:r>
      <w:r>
        <w:rPr>
          <w:rFonts w:ascii="Calibri" w:cs="Calibri"/>
          <w:sz w:val="22"/>
          <w:lang w:val="en-US"/>
        </w:rPr>
        <w:tab/>
      </w:r>
      <w:r w:rsidR="002A3278" w:rsidRPr="001B437E">
        <w:rPr>
          <w:rFonts w:ascii="Calibri" w:cs="Calibri"/>
          <w:sz w:val="22"/>
          <w:lang w:val="en-US"/>
        </w:rPr>
        <w:t xml:space="preserve">Wei J, Li Z, </w:t>
      </w:r>
      <w:proofErr w:type="spellStart"/>
      <w:r w:rsidR="002A3278" w:rsidRPr="001B437E">
        <w:rPr>
          <w:rFonts w:ascii="Calibri" w:cs="Calibri"/>
          <w:sz w:val="22"/>
          <w:lang w:val="en-US"/>
        </w:rPr>
        <w:t>Lyapustin</w:t>
      </w:r>
      <w:proofErr w:type="spellEnd"/>
      <w:r w:rsidR="002A3278" w:rsidRPr="001B437E">
        <w:rPr>
          <w:rFonts w:ascii="Calibri" w:cs="Calibri"/>
          <w:sz w:val="22"/>
          <w:lang w:val="en-US"/>
        </w:rPr>
        <w:t xml:space="preserve"> A, Sun L, Peng Y, </w:t>
      </w:r>
      <w:proofErr w:type="spellStart"/>
      <w:r w:rsidR="002A3278" w:rsidRPr="001B437E">
        <w:rPr>
          <w:rFonts w:ascii="Calibri" w:cs="Calibri"/>
          <w:sz w:val="22"/>
          <w:lang w:val="en-US"/>
        </w:rPr>
        <w:t>Xue</w:t>
      </w:r>
      <w:proofErr w:type="spellEnd"/>
      <w:r w:rsidR="002A3278" w:rsidRPr="001B437E">
        <w:rPr>
          <w:rFonts w:ascii="Calibri" w:cs="Calibri"/>
          <w:sz w:val="22"/>
          <w:lang w:val="en-US"/>
        </w:rPr>
        <w:t xml:space="preserve"> W, </w:t>
      </w:r>
      <w:proofErr w:type="spellStart"/>
      <w:r w:rsidR="002A3278" w:rsidRPr="001B437E">
        <w:rPr>
          <w:rFonts w:ascii="Calibri" w:cs="Calibri"/>
          <w:sz w:val="22"/>
          <w:lang w:val="en-US"/>
        </w:rPr>
        <w:t>Su</w:t>
      </w:r>
      <w:proofErr w:type="spellEnd"/>
      <w:r w:rsidR="002A3278" w:rsidRPr="001B437E">
        <w:rPr>
          <w:rFonts w:ascii="Calibri" w:cs="Calibri"/>
          <w:sz w:val="22"/>
          <w:lang w:val="en-US"/>
        </w:rPr>
        <w:t xml:space="preserve"> T, Cribb M. Reconstructing 1-km-resolution high-quality PM2.5 data records from 2000 to 2018 in China: spatiotemporal variations and policy implications. </w:t>
      </w:r>
      <w:r w:rsidR="002A3278" w:rsidRPr="001B437E">
        <w:rPr>
          <w:rFonts w:ascii="Calibri" w:cs="Calibri"/>
          <w:i/>
          <w:iCs/>
          <w:sz w:val="22"/>
          <w:lang w:val="en-US"/>
        </w:rPr>
        <w:t>Remote Sensing of Environment</w:t>
      </w:r>
      <w:r w:rsidR="002A3278" w:rsidRPr="001B437E">
        <w:rPr>
          <w:rFonts w:ascii="Calibri" w:cs="Calibri"/>
          <w:sz w:val="22"/>
          <w:lang w:val="en-US"/>
        </w:rPr>
        <w:t xml:space="preserve"> 2021; 252: 112–136.</w:t>
      </w:r>
    </w:p>
    <w:p w14:paraId="4296FDAD" w14:textId="5990D04D"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18. </w:t>
      </w:r>
      <w:r w:rsidRPr="001B437E">
        <w:rPr>
          <w:rFonts w:ascii="Calibri" w:cs="Calibri"/>
          <w:sz w:val="22"/>
          <w:lang w:val="en-US"/>
        </w:rPr>
        <w:tab/>
        <w:t xml:space="preserve">Bratsch SG. Standard Electrode Potentials and Temperature Coefficients in Water at 298.15 K. </w:t>
      </w:r>
      <w:r w:rsidRPr="001B437E">
        <w:rPr>
          <w:rFonts w:ascii="Calibri" w:cs="Calibri"/>
          <w:i/>
          <w:iCs/>
          <w:sz w:val="22"/>
          <w:lang w:val="en-US"/>
        </w:rPr>
        <w:t>Journal of Physical and Chemical Reference Data</w:t>
      </w:r>
      <w:r w:rsidRPr="001B437E">
        <w:rPr>
          <w:rFonts w:ascii="Calibri" w:cs="Calibri"/>
          <w:sz w:val="22"/>
          <w:lang w:val="en-US"/>
        </w:rPr>
        <w:t xml:space="preserve"> 1989; 18: 1–21.</w:t>
      </w:r>
    </w:p>
    <w:p w14:paraId="358E9D8E" w14:textId="7EA9BC79"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19. </w:t>
      </w:r>
      <w:r w:rsidRPr="001B437E">
        <w:rPr>
          <w:rFonts w:ascii="Calibri" w:cs="Calibri"/>
          <w:sz w:val="22"/>
          <w:lang w:val="en-US"/>
        </w:rPr>
        <w:tab/>
        <w:t>Liu M, Lin J, Wang Y, Sun Y, Zheng B, Shao J, Chen L, Zheng Y, Chen J, Fu T-M, Yan Y, Zhang Q, Wu Z. Spatiotemporal variability of NO</w:t>
      </w:r>
      <w:r w:rsidRPr="001B437E">
        <w:rPr>
          <w:rFonts w:ascii="Calibri" w:cs="Calibri"/>
          <w:sz w:val="22"/>
          <w:vertAlign w:val="subscript"/>
          <w:lang w:val="en-US"/>
        </w:rPr>
        <w:t>2</w:t>
      </w:r>
      <w:r w:rsidRPr="001B437E">
        <w:rPr>
          <w:rFonts w:ascii="Calibri" w:cs="Calibri"/>
          <w:sz w:val="22"/>
          <w:lang w:val="en-US"/>
        </w:rPr>
        <w:t xml:space="preserve"> and PM</w:t>
      </w:r>
      <w:r w:rsidRPr="001B437E">
        <w:rPr>
          <w:rFonts w:ascii="Calibri" w:cs="Calibri"/>
          <w:sz w:val="22"/>
          <w:vertAlign w:val="subscript"/>
          <w:lang w:val="en-US"/>
        </w:rPr>
        <w:t>2.5</w:t>
      </w:r>
      <w:r w:rsidRPr="001B437E">
        <w:rPr>
          <w:rFonts w:ascii="Calibri" w:cs="Calibri"/>
          <w:sz w:val="22"/>
          <w:lang w:val="en-US"/>
        </w:rPr>
        <w:t xml:space="preserve"> over Eastern China: observational and model analyses with a novel statistical method. </w:t>
      </w:r>
      <w:r w:rsidRPr="001B437E">
        <w:rPr>
          <w:rFonts w:ascii="Calibri" w:cs="Calibri"/>
          <w:i/>
          <w:iCs/>
          <w:sz w:val="22"/>
          <w:lang w:val="en-US"/>
        </w:rPr>
        <w:t>Atmos</w:t>
      </w:r>
      <w:r w:rsidR="009B4ED8">
        <w:rPr>
          <w:rFonts w:ascii="Calibri" w:cs="Calibri"/>
          <w:i/>
          <w:iCs/>
          <w:sz w:val="22"/>
        </w:rPr>
        <w:t>.</w:t>
      </w:r>
      <w:r w:rsidR="0041487C">
        <w:rPr>
          <w:rFonts w:ascii="Calibri" w:cs="Calibri"/>
          <w:i/>
          <w:iCs/>
          <w:sz w:val="22"/>
        </w:rPr>
        <w:t xml:space="preserve"> </w:t>
      </w:r>
      <w:r w:rsidR="009B4ED8">
        <w:rPr>
          <w:rFonts w:ascii="Calibri" w:cs="Calibri"/>
          <w:i/>
          <w:iCs/>
          <w:sz w:val="22"/>
        </w:rPr>
        <w:t>Chem. Phys.</w:t>
      </w:r>
      <w:r w:rsidRPr="001B437E">
        <w:rPr>
          <w:rFonts w:ascii="Calibri" w:cs="Calibri"/>
          <w:sz w:val="22"/>
          <w:lang w:val="en-US"/>
        </w:rPr>
        <w:t xml:space="preserve"> 2018; 18: 12933–12952.</w:t>
      </w:r>
    </w:p>
    <w:p w14:paraId="3B3F23E8" w14:textId="22EC6586"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20. </w:t>
      </w:r>
      <w:r w:rsidRPr="001B437E">
        <w:rPr>
          <w:rFonts w:ascii="Calibri" w:cs="Calibri"/>
          <w:sz w:val="22"/>
          <w:lang w:val="en-US"/>
        </w:rPr>
        <w:tab/>
      </w:r>
      <w:r w:rsidR="00D15137">
        <w:rPr>
          <w:rFonts w:ascii="Calibri" w:cs="Calibri"/>
          <w:sz w:val="22"/>
          <w:lang w:val="en-US"/>
        </w:rPr>
        <w:t xml:space="preserve">Feng T, Bei N, Huang R-J, Cao J, </w:t>
      </w:r>
      <w:r w:rsidR="000B2488">
        <w:rPr>
          <w:rFonts w:ascii="Calibri" w:cs="Calibri"/>
          <w:sz w:val="22"/>
          <w:lang w:val="en-US"/>
        </w:rPr>
        <w:t xml:space="preserve">Zhang Q, Zhou W, Tie X, Liu S, Zhang T, Su X, Lei W, </w:t>
      </w:r>
      <w:r w:rsidR="00FC03C4">
        <w:rPr>
          <w:rFonts w:ascii="Calibri" w:cs="Calibri"/>
          <w:sz w:val="22"/>
          <w:lang w:val="en-US"/>
        </w:rPr>
        <w:t xml:space="preserve">Molina LT, Li G. </w:t>
      </w:r>
      <w:r w:rsidRPr="001B437E">
        <w:rPr>
          <w:rFonts w:ascii="Calibri" w:cs="Calibri"/>
          <w:sz w:val="22"/>
          <w:lang w:val="en-US"/>
        </w:rPr>
        <w:t>Summertime ozone formation in Xi’an and surrounding areas, China</w:t>
      </w:r>
      <w:r w:rsidR="007B4BD5">
        <w:rPr>
          <w:rFonts w:ascii="Calibri" w:cs="Calibri"/>
          <w:sz w:val="22"/>
          <w:lang w:val="en-US"/>
        </w:rPr>
        <w:t xml:space="preserve">. </w:t>
      </w:r>
      <w:r w:rsidR="007B4BD5" w:rsidRPr="00155244">
        <w:rPr>
          <w:rFonts w:ascii="Calibri" w:cs="Calibri"/>
          <w:i/>
          <w:iCs/>
          <w:sz w:val="22"/>
          <w:lang w:val="en-US"/>
        </w:rPr>
        <w:t>Atmos. Chem. Phys.</w:t>
      </w:r>
      <w:r w:rsidR="007B4BD5">
        <w:rPr>
          <w:rFonts w:ascii="Calibri" w:cs="Calibri"/>
          <w:sz w:val="22"/>
          <w:lang w:val="en-US"/>
        </w:rPr>
        <w:t xml:space="preserve"> 2016; 16: </w:t>
      </w:r>
      <w:r w:rsidR="0041487C">
        <w:rPr>
          <w:rFonts w:ascii="Calibri" w:cs="Calibri"/>
          <w:sz w:val="22"/>
          <w:lang w:val="en-US"/>
        </w:rPr>
        <w:t>4323-4342</w:t>
      </w:r>
      <w:r w:rsidRPr="001B437E">
        <w:rPr>
          <w:rFonts w:ascii="Calibri" w:cs="Calibri"/>
          <w:sz w:val="22"/>
          <w:lang w:val="en-US"/>
        </w:rPr>
        <w:t>.</w:t>
      </w:r>
    </w:p>
    <w:p w14:paraId="00515486"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21. </w:t>
      </w:r>
      <w:r w:rsidRPr="001B437E">
        <w:rPr>
          <w:rFonts w:ascii="Calibri" w:cs="Calibri"/>
          <w:sz w:val="22"/>
          <w:lang w:val="en-US"/>
        </w:rPr>
        <w:tab/>
        <w:t xml:space="preserve">Ji JS, Zhu A, Bai C, Wu C-D, Yan L, Tang S, Zeng Y, James P. Residential greenness and mortality in oldest-old women and men in China: a longitudinal cohort study. </w:t>
      </w:r>
      <w:r w:rsidRPr="001B437E">
        <w:rPr>
          <w:rFonts w:ascii="Calibri" w:cs="Calibri"/>
          <w:i/>
          <w:iCs/>
          <w:sz w:val="22"/>
          <w:lang w:val="en-US"/>
        </w:rPr>
        <w:t>The Lancet Planetary Health</w:t>
      </w:r>
      <w:r w:rsidRPr="001B437E">
        <w:rPr>
          <w:rFonts w:ascii="Calibri" w:cs="Calibri"/>
          <w:sz w:val="22"/>
          <w:lang w:val="en-US"/>
        </w:rPr>
        <w:t xml:space="preserve"> 2019; 3: e17–e25.</w:t>
      </w:r>
    </w:p>
    <w:p w14:paraId="4B2458F8"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22. </w:t>
      </w:r>
      <w:r w:rsidRPr="001B437E">
        <w:rPr>
          <w:rFonts w:ascii="Calibri" w:cs="Calibri"/>
          <w:sz w:val="22"/>
          <w:lang w:val="en-US"/>
        </w:rPr>
        <w:tab/>
        <w:t xml:space="preserve">Banay RF, James P, Hart JE, Kubzansky LD, Spiegelman D, Okereke OI, Spengler JD, Laden F. Greenness and Depression Incidence among Older Women. </w:t>
      </w:r>
      <w:r w:rsidRPr="001B437E">
        <w:rPr>
          <w:rFonts w:ascii="Calibri" w:cs="Calibri"/>
          <w:i/>
          <w:iCs/>
          <w:sz w:val="22"/>
          <w:lang w:val="en-US"/>
        </w:rPr>
        <w:t>Environ Health Perspect</w:t>
      </w:r>
      <w:r w:rsidRPr="001B437E">
        <w:rPr>
          <w:rFonts w:ascii="Calibri" w:cs="Calibri"/>
          <w:sz w:val="22"/>
          <w:lang w:val="en-US"/>
        </w:rPr>
        <w:t xml:space="preserve"> 2019; 127: 027001.</w:t>
      </w:r>
    </w:p>
    <w:p w14:paraId="4C75F617" w14:textId="22983108"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23. </w:t>
      </w:r>
      <w:r w:rsidRPr="001B437E">
        <w:rPr>
          <w:rFonts w:ascii="Calibri" w:cs="Calibri"/>
          <w:sz w:val="22"/>
          <w:lang w:val="en-US"/>
        </w:rPr>
        <w:tab/>
        <w:t>Measuring Vegetation (NDVI &amp; EVI). NASA Earth Observatory; 2000.</w:t>
      </w:r>
      <w:r w:rsidR="004F5FE0">
        <w:rPr>
          <w:rFonts w:ascii="Calibri" w:cs="Calibri"/>
          <w:sz w:val="22"/>
          <w:lang w:val="en-US"/>
        </w:rPr>
        <w:t xml:space="preserve"> </w:t>
      </w:r>
      <w:r w:rsidRPr="001B437E">
        <w:rPr>
          <w:rFonts w:ascii="Calibri" w:cs="Calibri"/>
          <w:sz w:val="22"/>
          <w:lang w:val="en-US"/>
        </w:rPr>
        <w:t>Available from: https://earthobservatory.nasa.gov/features/MeasuringVegetation.</w:t>
      </w:r>
      <w:r w:rsidR="00F16B57">
        <w:rPr>
          <w:rFonts w:ascii="Calibri" w:cs="Calibri"/>
          <w:sz w:val="22"/>
          <w:lang w:val="en-US"/>
        </w:rPr>
        <w:t xml:space="preserve"> (Latest access on </w:t>
      </w:r>
      <w:r w:rsidR="00F16B57" w:rsidRPr="001B437E">
        <w:rPr>
          <w:rFonts w:ascii="Calibri" w:cs="Calibri"/>
          <w:sz w:val="22"/>
          <w:lang w:val="en-US"/>
        </w:rPr>
        <w:t>Jul 7</w:t>
      </w:r>
      <w:r w:rsidR="00F16B57" w:rsidRPr="00155244">
        <w:rPr>
          <w:rFonts w:ascii="Calibri" w:cs="Calibri"/>
          <w:sz w:val="22"/>
          <w:vertAlign w:val="superscript"/>
          <w:lang w:val="en-US"/>
        </w:rPr>
        <w:t>th</w:t>
      </w:r>
      <w:r w:rsidR="00F16B57">
        <w:rPr>
          <w:rFonts w:ascii="Calibri" w:cs="Calibri"/>
          <w:sz w:val="22"/>
          <w:lang w:val="en-US"/>
        </w:rPr>
        <w:t xml:space="preserve">, 2020) </w:t>
      </w:r>
    </w:p>
    <w:p w14:paraId="646EA9F8" w14:textId="53594471"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24. </w:t>
      </w:r>
      <w:r w:rsidRPr="001B437E">
        <w:rPr>
          <w:rFonts w:ascii="Calibri" w:cs="Calibri"/>
          <w:sz w:val="22"/>
          <w:lang w:val="en-US"/>
        </w:rPr>
        <w:tab/>
        <w:t xml:space="preserve">Yang C, Shen X, Peng Y, Lan R, Zhao Y, Long B, Luo T, Sun G, Li X, Qiao K, Gui X, Wu J, Xu J, Li F, Li D, Liu F, Shen M, Hong J, Mei J, DeRiemer K, Gao Q. Transmission of Mycobacterium tuberculosis in China: A </w:t>
      </w:r>
      <w:r w:rsidR="00746BED">
        <w:rPr>
          <w:rFonts w:ascii="Calibri" w:cs="Calibri"/>
          <w:sz w:val="22"/>
          <w:lang w:val="en-US"/>
        </w:rPr>
        <w:t>p</w:t>
      </w:r>
      <w:r w:rsidRPr="001B437E">
        <w:rPr>
          <w:rFonts w:ascii="Calibri" w:cs="Calibri"/>
          <w:sz w:val="22"/>
          <w:lang w:val="en-US"/>
        </w:rPr>
        <w:t>opulation-</w:t>
      </w:r>
      <w:r w:rsidR="00746BED">
        <w:rPr>
          <w:rFonts w:ascii="Calibri" w:cs="Calibri"/>
          <w:sz w:val="22"/>
          <w:lang w:val="en-US"/>
        </w:rPr>
        <w:t>b</w:t>
      </w:r>
      <w:r w:rsidRPr="001B437E">
        <w:rPr>
          <w:rFonts w:ascii="Calibri" w:cs="Calibri"/>
          <w:sz w:val="22"/>
          <w:lang w:val="en-US"/>
        </w:rPr>
        <w:t xml:space="preserve">ased </w:t>
      </w:r>
      <w:r w:rsidR="00746BED">
        <w:rPr>
          <w:rFonts w:ascii="Calibri" w:cs="Calibri"/>
          <w:sz w:val="22"/>
          <w:lang w:val="en-US"/>
        </w:rPr>
        <w:t>m</w:t>
      </w:r>
      <w:r w:rsidRPr="001B437E">
        <w:rPr>
          <w:rFonts w:ascii="Calibri" w:cs="Calibri"/>
          <w:sz w:val="22"/>
          <w:lang w:val="en-US"/>
        </w:rPr>
        <w:t xml:space="preserve">olecular </w:t>
      </w:r>
      <w:r w:rsidR="00746BED">
        <w:rPr>
          <w:rFonts w:ascii="Calibri" w:cs="Calibri"/>
          <w:sz w:val="22"/>
          <w:lang w:val="en-US"/>
        </w:rPr>
        <w:t>e</w:t>
      </w:r>
      <w:r w:rsidRPr="001B437E">
        <w:rPr>
          <w:rFonts w:ascii="Calibri" w:cs="Calibri"/>
          <w:sz w:val="22"/>
          <w:lang w:val="en-US"/>
        </w:rPr>
        <w:t xml:space="preserve">pidemiologic Study. </w:t>
      </w:r>
      <w:r w:rsidRPr="001B437E">
        <w:rPr>
          <w:rFonts w:ascii="Calibri" w:cs="Calibri"/>
          <w:i/>
          <w:iCs/>
          <w:sz w:val="22"/>
          <w:lang w:val="en-US"/>
        </w:rPr>
        <w:t>Clin Infect Dis</w:t>
      </w:r>
      <w:r w:rsidRPr="001B437E">
        <w:rPr>
          <w:rFonts w:ascii="Calibri" w:cs="Calibri"/>
          <w:sz w:val="22"/>
          <w:lang w:val="en-US"/>
        </w:rPr>
        <w:t xml:space="preserve"> 2015; 61: 219–227.</w:t>
      </w:r>
    </w:p>
    <w:p w14:paraId="047B723A"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lastRenderedPageBreak/>
        <w:t xml:space="preserve">25. </w:t>
      </w:r>
      <w:r w:rsidRPr="001B437E">
        <w:rPr>
          <w:rFonts w:ascii="Calibri" w:cs="Calibri"/>
          <w:sz w:val="22"/>
          <w:lang w:val="en-US"/>
        </w:rPr>
        <w:tab/>
        <w:t xml:space="preserve">Yang C, Luo T, Shen X, Wu J, Gan M, Xu P, Wu Z, Lin S, Tian J, Liu Q, Yuan Z, Mei J, DeRiemer K, Gao Q. Transmission of multidrug-resistant Mycobacterium tuberculosis in Shanghai, China: a retrospective observational study using whole-genome sequencing and epidemiological investigation. </w:t>
      </w:r>
      <w:r w:rsidRPr="001B437E">
        <w:rPr>
          <w:rFonts w:ascii="Calibri" w:cs="Calibri"/>
          <w:i/>
          <w:iCs/>
          <w:sz w:val="22"/>
          <w:lang w:val="en-US"/>
        </w:rPr>
        <w:t>The Lancet Infectious Diseases</w:t>
      </w:r>
      <w:r w:rsidRPr="001B437E">
        <w:rPr>
          <w:rFonts w:ascii="Calibri" w:cs="Calibri"/>
          <w:sz w:val="22"/>
          <w:lang w:val="en-US"/>
        </w:rPr>
        <w:t xml:space="preserve"> 2017; 17: 275–284.</w:t>
      </w:r>
    </w:p>
    <w:p w14:paraId="0ED9DA77" w14:textId="73DB956E"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26. </w:t>
      </w:r>
      <w:r w:rsidRPr="001B437E">
        <w:rPr>
          <w:rFonts w:ascii="Calibri" w:cs="Calibri"/>
          <w:sz w:val="22"/>
          <w:lang w:val="en-US"/>
        </w:rPr>
        <w:tab/>
        <w:t>Earth at Night. NASA Earth Observatory; 2017.</w:t>
      </w:r>
      <w:r w:rsidR="00746BED">
        <w:rPr>
          <w:rFonts w:ascii="Calibri" w:cs="Calibri"/>
          <w:sz w:val="22"/>
          <w:lang w:val="en-US"/>
        </w:rPr>
        <w:t xml:space="preserve"> </w:t>
      </w:r>
      <w:r w:rsidRPr="001B437E">
        <w:rPr>
          <w:rFonts w:ascii="Calibri" w:cs="Calibri"/>
          <w:sz w:val="22"/>
          <w:lang w:val="en-US"/>
        </w:rPr>
        <w:t>Available from: https://earthobservatory.nasa.gov/features/NightLights.</w:t>
      </w:r>
      <w:r w:rsidR="00746BED" w:rsidRPr="00746BED">
        <w:rPr>
          <w:rFonts w:ascii="Calibri" w:cs="Calibri"/>
          <w:sz w:val="22"/>
          <w:lang w:val="en-US"/>
        </w:rPr>
        <w:t xml:space="preserve"> </w:t>
      </w:r>
      <w:r w:rsidR="00746BED">
        <w:rPr>
          <w:rFonts w:ascii="Calibri" w:cs="Calibri"/>
          <w:sz w:val="22"/>
          <w:lang w:val="en-US"/>
        </w:rPr>
        <w:t xml:space="preserve">(Latest access on </w:t>
      </w:r>
      <w:r w:rsidR="00746BED" w:rsidRPr="001B437E">
        <w:rPr>
          <w:rFonts w:ascii="Calibri" w:cs="Calibri"/>
          <w:sz w:val="22"/>
          <w:lang w:val="en-US"/>
        </w:rPr>
        <w:t>Jul 7</w:t>
      </w:r>
      <w:r w:rsidR="00746BED" w:rsidRPr="00C06157">
        <w:rPr>
          <w:rFonts w:ascii="Calibri" w:cs="Calibri"/>
          <w:sz w:val="22"/>
          <w:vertAlign w:val="superscript"/>
          <w:lang w:val="en-US"/>
        </w:rPr>
        <w:t>th</w:t>
      </w:r>
      <w:r w:rsidR="00746BED">
        <w:rPr>
          <w:rFonts w:ascii="Calibri" w:cs="Calibri"/>
          <w:sz w:val="22"/>
          <w:lang w:val="en-US"/>
        </w:rPr>
        <w:t>, 2020)</w:t>
      </w:r>
    </w:p>
    <w:p w14:paraId="569EADF8" w14:textId="4A0092D3"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27. </w:t>
      </w:r>
      <w:r w:rsidRPr="001B437E">
        <w:rPr>
          <w:rFonts w:ascii="Calibri" w:cs="Calibri"/>
          <w:sz w:val="22"/>
          <w:lang w:val="en-US"/>
        </w:rPr>
        <w:tab/>
        <w:t xml:space="preserve">Lin DY, Wei LJ, Ying Z. Checking the Cox Model with Cumulative Sums of Martingale-Based Residuals. </w:t>
      </w:r>
      <w:r w:rsidRPr="001B437E">
        <w:rPr>
          <w:rFonts w:ascii="Calibri" w:cs="Calibri"/>
          <w:i/>
          <w:iCs/>
          <w:sz w:val="22"/>
          <w:lang w:val="en-US"/>
        </w:rPr>
        <w:t>Biometrika</w:t>
      </w:r>
      <w:r w:rsidRPr="001B437E">
        <w:rPr>
          <w:rFonts w:ascii="Calibri" w:cs="Calibri"/>
          <w:sz w:val="22"/>
          <w:lang w:val="en-US"/>
        </w:rPr>
        <w:t xml:space="preserve"> 1993; 80: 557–572.</w:t>
      </w:r>
    </w:p>
    <w:p w14:paraId="2084D96A"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28. </w:t>
      </w:r>
      <w:r w:rsidRPr="001B437E">
        <w:rPr>
          <w:rFonts w:ascii="Calibri" w:cs="Calibri"/>
          <w:sz w:val="22"/>
          <w:lang w:val="en-US"/>
        </w:rPr>
        <w:tab/>
        <w:t>Harrell F. Regression modeling strategies with applications to linear models, logistic regression and survival analysis. New York, NY: Springer-Verlag; 2001.</w:t>
      </w:r>
    </w:p>
    <w:p w14:paraId="23957494" w14:textId="64E8BB44"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29. </w:t>
      </w:r>
      <w:r w:rsidRPr="001B437E">
        <w:rPr>
          <w:rFonts w:ascii="Calibri" w:cs="Calibri"/>
          <w:sz w:val="22"/>
          <w:lang w:val="en-US"/>
        </w:rPr>
        <w:tab/>
        <w:t xml:space="preserve">The Economist. It’s Time to End Drug-Resistant Tuberculosis: The </w:t>
      </w:r>
      <w:r w:rsidR="00DF3C79">
        <w:rPr>
          <w:rFonts w:ascii="Calibri" w:cs="Calibri"/>
          <w:sz w:val="22"/>
          <w:lang w:val="en-US"/>
        </w:rPr>
        <w:t>C</w:t>
      </w:r>
      <w:r w:rsidRPr="001B437E">
        <w:rPr>
          <w:rFonts w:ascii="Calibri" w:cs="Calibri"/>
          <w:sz w:val="22"/>
          <w:lang w:val="en-US"/>
        </w:rPr>
        <w:t xml:space="preserve">ase for </w:t>
      </w:r>
      <w:r w:rsidR="00DF3C79">
        <w:rPr>
          <w:rFonts w:ascii="Calibri" w:cs="Calibri"/>
          <w:sz w:val="22"/>
          <w:lang w:val="en-US"/>
        </w:rPr>
        <w:t>A</w:t>
      </w:r>
      <w:r w:rsidRPr="001B437E">
        <w:rPr>
          <w:rFonts w:ascii="Calibri" w:cs="Calibri"/>
          <w:sz w:val="22"/>
          <w:lang w:val="en-US"/>
        </w:rPr>
        <w:t>ction</w:t>
      </w:r>
      <w:r w:rsidR="00DF3C79">
        <w:rPr>
          <w:rFonts w:ascii="Calibri" w:cs="Calibri"/>
          <w:sz w:val="22"/>
          <w:lang w:val="en-US"/>
        </w:rPr>
        <w:t xml:space="preserve">; </w:t>
      </w:r>
      <w:r w:rsidRPr="001B437E">
        <w:rPr>
          <w:rFonts w:ascii="Calibri" w:cs="Calibri"/>
          <w:sz w:val="22"/>
          <w:lang w:val="en-US"/>
        </w:rPr>
        <w:t>2019</w:t>
      </w:r>
      <w:r w:rsidR="00DF3C79">
        <w:rPr>
          <w:rFonts w:ascii="Calibri" w:cs="Calibri"/>
          <w:sz w:val="22"/>
          <w:lang w:val="en-US"/>
        </w:rPr>
        <w:t xml:space="preserve">. </w:t>
      </w:r>
      <w:r w:rsidRPr="001B437E">
        <w:rPr>
          <w:rFonts w:ascii="Calibri" w:cs="Calibri"/>
          <w:sz w:val="22"/>
          <w:lang w:val="en-US"/>
        </w:rPr>
        <w:t>Available from: https://www.eiu.com/graphics/marketing/pdf/its-time-to-end-drug-resistant-tuberculosis-full-report.pdf.</w:t>
      </w:r>
      <w:r w:rsidR="00DF3C79">
        <w:rPr>
          <w:rFonts w:ascii="Calibri" w:cs="Calibri"/>
          <w:sz w:val="22"/>
          <w:lang w:val="en-US"/>
        </w:rPr>
        <w:t xml:space="preserve"> (Latest access on Jul 7</w:t>
      </w:r>
      <w:r w:rsidR="00DF3C79" w:rsidRPr="00155244">
        <w:rPr>
          <w:rFonts w:ascii="Calibri" w:cs="Calibri"/>
          <w:sz w:val="22"/>
          <w:vertAlign w:val="superscript"/>
          <w:lang w:val="en-US"/>
        </w:rPr>
        <w:t>th</w:t>
      </w:r>
      <w:r w:rsidR="00DF3C79">
        <w:rPr>
          <w:rFonts w:ascii="Calibri" w:cs="Calibri"/>
          <w:sz w:val="22"/>
          <w:lang w:val="en-US"/>
        </w:rPr>
        <w:t>, 2020)</w:t>
      </w:r>
    </w:p>
    <w:p w14:paraId="37A606AA" w14:textId="726E9F98"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30. </w:t>
      </w:r>
      <w:r w:rsidRPr="001B437E">
        <w:rPr>
          <w:rFonts w:ascii="Calibri" w:cs="Calibri"/>
          <w:sz w:val="22"/>
          <w:lang w:val="en-US"/>
        </w:rPr>
        <w:tab/>
        <w:t xml:space="preserve">Lin Y-J, Lin H-C, Yang Y-F, Chen C-Y, Ling M-P, Chen S-C, Chen W-Y, You S-H, Lu T-H, Liao C-M. Association </w:t>
      </w:r>
      <w:r w:rsidR="005508E3">
        <w:rPr>
          <w:rFonts w:ascii="Calibri" w:cs="Calibri"/>
          <w:sz w:val="22"/>
          <w:lang w:val="en-US"/>
        </w:rPr>
        <w:t>b</w:t>
      </w:r>
      <w:r w:rsidRPr="001B437E">
        <w:rPr>
          <w:rFonts w:ascii="Calibri" w:cs="Calibri"/>
          <w:sz w:val="22"/>
          <w:lang w:val="en-US"/>
        </w:rPr>
        <w:t xml:space="preserve">etween </w:t>
      </w:r>
      <w:r w:rsidR="005508E3">
        <w:rPr>
          <w:rFonts w:ascii="Calibri" w:cs="Calibri"/>
          <w:sz w:val="22"/>
          <w:lang w:val="en-US"/>
        </w:rPr>
        <w:t>a</w:t>
      </w:r>
      <w:r w:rsidRPr="001B437E">
        <w:rPr>
          <w:rFonts w:ascii="Calibri" w:cs="Calibri"/>
          <w:sz w:val="22"/>
          <w:lang w:val="en-US"/>
        </w:rPr>
        <w:t xml:space="preserve">mbient </w:t>
      </w:r>
      <w:r w:rsidR="005508E3">
        <w:rPr>
          <w:rFonts w:ascii="Calibri" w:cs="Calibri"/>
          <w:sz w:val="22"/>
          <w:lang w:val="en-US"/>
        </w:rPr>
        <w:t>a</w:t>
      </w:r>
      <w:r w:rsidRPr="001B437E">
        <w:rPr>
          <w:rFonts w:ascii="Calibri" w:cs="Calibri"/>
          <w:sz w:val="22"/>
          <w:lang w:val="en-US"/>
        </w:rPr>
        <w:t xml:space="preserve">ir </w:t>
      </w:r>
      <w:r w:rsidR="005508E3">
        <w:rPr>
          <w:rFonts w:ascii="Calibri" w:cs="Calibri"/>
          <w:sz w:val="22"/>
          <w:lang w:val="en-US"/>
        </w:rPr>
        <w:t>p</w:t>
      </w:r>
      <w:r w:rsidRPr="001B437E">
        <w:rPr>
          <w:rFonts w:ascii="Calibri" w:cs="Calibri"/>
          <w:sz w:val="22"/>
          <w:lang w:val="en-US"/>
        </w:rPr>
        <w:t xml:space="preserve">ollution and </w:t>
      </w:r>
      <w:r w:rsidR="005508E3">
        <w:rPr>
          <w:rFonts w:ascii="Calibri" w:cs="Calibri"/>
          <w:sz w:val="22"/>
          <w:lang w:val="en-US"/>
        </w:rPr>
        <w:t>e</w:t>
      </w:r>
      <w:r w:rsidRPr="001B437E">
        <w:rPr>
          <w:rFonts w:ascii="Calibri" w:cs="Calibri"/>
          <w:sz w:val="22"/>
          <w:lang w:val="en-US"/>
        </w:rPr>
        <w:t xml:space="preserve">levated </w:t>
      </w:r>
      <w:r w:rsidR="005508E3">
        <w:rPr>
          <w:rFonts w:ascii="Calibri" w:cs="Calibri"/>
          <w:sz w:val="22"/>
          <w:lang w:val="en-US"/>
        </w:rPr>
        <w:t>r</w:t>
      </w:r>
      <w:r w:rsidRPr="001B437E">
        <w:rPr>
          <w:rFonts w:ascii="Calibri" w:cs="Calibri"/>
          <w:sz w:val="22"/>
          <w:lang w:val="en-US"/>
        </w:rPr>
        <w:t xml:space="preserve">isk of </w:t>
      </w:r>
      <w:r w:rsidR="005508E3">
        <w:rPr>
          <w:rFonts w:ascii="Calibri" w:cs="Calibri"/>
          <w:sz w:val="22"/>
          <w:lang w:val="en-US"/>
        </w:rPr>
        <w:t>t</w:t>
      </w:r>
      <w:r w:rsidRPr="001B437E">
        <w:rPr>
          <w:rFonts w:ascii="Calibri" w:cs="Calibri"/>
          <w:sz w:val="22"/>
          <w:lang w:val="en-US"/>
        </w:rPr>
        <w:t xml:space="preserve">uberculosis </w:t>
      </w:r>
      <w:r w:rsidR="005508E3">
        <w:rPr>
          <w:rFonts w:ascii="Calibri" w:cs="Calibri"/>
          <w:sz w:val="22"/>
          <w:lang w:val="en-US"/>
        </w:rPr>
        <w:t>d</w:t>
      </w:r>
      <w:r w:rsidRPr="001B437E">
        <w:rPr>
          <w:rFonts w:ascii="Calibri" w:cs="Calibri"/>
          <w:sz w:val="22"/>
          <w:lang w:val="en-US"/>
        </w:rPr>
        <w:t xml:space="preserve">evelopment. </w:t>
      </w:r>
      <w:r w:rsidRPr="001B437E">
        <w:rPr>
          <w:rFonts w:ascii="Calibri" w:cs="Calibri"/>
          <w:i/>
          <w:iCs/>
          <w:sz w:val="22"/>
          <w:lang w:val="en-US"/>
        </w:rPr>
        <w:t>Infect Drug Resist</w:t>
      </w:r>
      <w:r w:rsidRPr="001B437E">
        <w:rPr>
          <w:rFonts w:ascii="Calibri" w:cs="Calibri"/>
          <w:sz w:val="22"/>
          <w:lang w:val="en-US"/>
        </w:rPr>
        <w:t xml:space="preserve"> 2019; 12: 3835–3847.</w:t>
      </w:r>
    </w:p>
    <w:p w14:paraId="775A8ABC"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31. </w:t>
      </w:r>
      <w:r w:rsidRPr="001B437E">
        <w:rPr>
          <w:rFonts w:ascii="Calibri" w:cs="Calibri"/>
          <w:sz w:val="22"/>
          <w:lang w:val="en-US"/>
        </w:rPr>
        <w:tab/>
        <w:t xml:space="preserve">Li Z, Mao X, Liu Q, Song H, Ji Y, Xu D, Qiu B, Tian D, Wang J. Long-term effect of exposure to ambient air pollution on the risk of active tuberculosis. </w:t>
      </w:r>
      <w:r w:rsidRPr="001B437E">
        <w:rPr>
          <w:rFonts w:ascii="Calibri" w:cs="Calibri"/>
          <w:i/>
          <w:iCs/>
          <w:sz w:val="22"/>
          <w:lang w:val="en-US"/>
        </w:rPr>
        <w:t>International Journal of Infectious Diseases</w:t>
      </w:r>
      <w:r w:rsidRPr="001B437E">
        <w:rPr>
          <w:rFonts w:ascii="Calibri" w:cs="Calibri"/>
          <w:sz w:val="22"/>
          <w:lang w:val="en-US"/>
        </w:rPr>
        <w:t xml:space="preserve"> 2019; 87: 177–184.</w:t>
      </w:r>
    </w:p>
    <w:p w14:paraId="67894C79"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32. </w:t>
      </w:r>
      <w:r w:rsidRPr="001B437E">
        <w:rPr>
          <w:rFonts w:ascii="Calibri" w:cs="Calibri"/>
          <w:sz w:val="22"/>
          <w:lang w:val="en-US"/>
        </w:rPr>
        <w:tab/>
        <w:t xml:space="preserve">Hwang S, Kang S, Lee J-Y, Lee JS, Kim HJ, Han SK, Yim J-J. Impact of outdoor air pollution on the incidence of tuberculosis in the Seoul metropolitan area, South Korea. </w:t>
      </w:r>
      <w:r w:rsidRPr="001B437E">
        <w:rPr>
          <w:rFonts w:ascii="Calibri" w:cs="Calibri"/>
          <w:i/>
          <w:iCs/>
          <w:sz w:val="22"/>
          <w:lang w:val="en-US"/>
        </w:rPr>
        <w:t>Korean J Intern Med</w:t>
      </w:r>
      <w:r w:rsidRPr="001B437E">
        <w:rPr>
          <w:rFonts w:ascii="Calibri" w:cs="Calibri"/>
          <w:sz w:val="22"/>
          <w:lang w:val="en-US"/>
        </w:rPr>
        <w:t xml:space="preserve"> 2014; 29: 183–190.</w:t>
      </w:r>
    </w:p>
    <w:p w14:paraId="1947B9AB"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33. </w:t>
      </w:r>
      <w:r w:rsidRPr="001B437E">
        <w:rPr>
          <w:rFonts w:ascii="Calibri" w:cs="Calibri"/>
          <w:sz w:val="22"/>
          <w:lang w:val="en-US"/>
        </w:rPr>
        <w:tab/>
        <w:t xml:space="preserve">Laumbach RJ, Kipen HM. Respiratory health effects of air pollution: update on biomass smoke and traffic pollution. </w:t>
      </w:r>
      <w:r w:rsidRPr="001B437E">
        <w:rPr>
          <w:rFonts w:ascii="Calibri" w:cs="Calibri"/>
          <w:i/>
          <w:iCs/>
          <w:sz w:val="22"/>
          <w:lang w:val="en-US"/>
        </w:rPr>
        <w:t>J. Allergy Clin. Immunol.</w:t>
      </w:r>
      <w:r w:rsidRPr="001B437E">
        <w:rPr>
          <w:rFonts w:ascii="Calibri" w:cs="Calibri"/>
          <w:sz w:val="22"/>
          <w:lang w:val="en-US"/>
        </w:rPr>
        <w:t xml:space="preserve"> 2012; 129: 3–11; quiz 12–13.</w:t>
      </w:r>
    </w:p>
    <w:p w14:paraId="6FAA8453"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34. </w:t>
      </w:r>
      <w:r w:rsidRPr="001B437E">
        <w:rPr>
          <w:rFonts w:ascii="Calibri" w:cs="Calibri"/>
          <w:sz w:val="22"/>
          <w:lang w:val="en-US"/>
        </w:rPr>
        <w:tab/>
        <w:t xml:space="preserve">Bauer RN, Diaz-Sanchez D, Jaspers I. Effects of air pollutants on innate immunity: the role of Toll-like receptors and nucleotide-binding oligomerization domain-like receptors. </w:t>
      </w:r>
      <w:r w:rsidRPr="001B437E">
        <w:rPr>
          <w:rFonts w:ascii="Calibri" w:cs="Calibri"/>
          <w:i/>
          <w:iCs/>
          <w:sz w:val="22"/>
          <w:lang w:val="en-US"/>
        </w:rPr>
        <w:t>J. Allergy Clin. Immunol.</w:t>
      </w:r>
      <w:r w:rsidRPr="001B437E">
        <w:rPr>
          <w:rFonts w:ascii="Calibri" w:cs="Calibri"/>
          <w:sz w:val="22"/>
          <w:lang w:val="en-US"/>
        </w:rPr>
        <w:t xml:space="preserve"> 2012; 129: 14–24; quiz 25–26.</w:t>
      </w:r>
    </w:p>
    <w:p w14:paraId="7BA34E9F"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35. </w:t>
      </w:r>
      <w:r w:rsidRPr="001B437E">
        <w:rPr>
          <w:rFonts w:ascii="Calibri" w:cs="Calibri"/>
          <w:sz w:val="22"/>
          <w:lang w:val="en-US"/>
        </w:rPr>
        <w:tab/>
        <w:t xml:space="preserve">Sarkar S, Song Y, Sarkar S, Kipen HM, Laumbach RJ, Zhang J, Strickland PAO, Gardner CR, Schwander S. Suppression of the NF-κB Pathway by Diesel Exhaust Particles Impairs Human Antimycobacterial Immunity. </w:t>
      </w:r>
      <w:r w:rsidRPr="001B437E">
        <w:rPr>
          <w:rFonts w:ascii="Calibri" w:cs="Calibri"/>
          <w:i/>
          <w:iCs/>
          <w:sz w:val="22"/>
          <w:lang w:val="en-US"/>
        </w:rPr>
        <w:t>The Journal of Immunology</w:t>
      </w:r>
      <w:r w:rsidRPr="001B437E">
        <w:rPr>
          <w:rFonts w:ascii="Calibri" w:cs="Calibri"/>
          <w:sz w:val="22"/>
          <w:lang w:val="en-US"/>
        </w:rPr>
        <w:t xml:space="preserve"> American Association of Immunologists; 2012; 188: 2778–2793.</w:t>
      </w:r>
    </w:p>
    <w:p w14:paraId="430C2E4F" w14:textId="77777777" w:rsidR="001B437E" w:rsidRPr="001B437E" w:rsidRDefault="001B437E" w:rsidP="001B437E">
      <w:pPr>
        <w:pStyle w:val="Bibliography"/>
        <w:rPr>
          <w:rFonts w:ascii="Calibri" w:cs="Calibri"/>
          <w:sz w:val="22"/>
          <w:lang w:val="en-US"/>
        </w:rPr>
      </w:pPr>
      <w:r w:rsidRPr="001B437E">
        <w:rPr>
          <w:rFonts w:ascii="Calibri" w:cs="Calibri"/>
          <w:sz w:val="22"/>
          <w:lang w:val="en-US"/>
        </w:rPr>
        <w:t xml:space="preserve">36. </w:t>
      </w:r>
      <w:r w:rsidRPr="001B437E">
        <w:rPr>
          <w:rFonts w:ascii="Calibri" w:cs="Calibri"/>
          <w:sz w:val="22"/>
          <w:lang w:val="en-US"/>
        </w:rPr>
        <w:tab/>
        <w:t xml:space="preserve">Peng Z, Liu C, Xu B, Kan H, Wang W. Long-term exposure to ambient air pollution and mortality in a Chinese tuberculosis cohort. </w:t>
      </w:r>
      <w:r w:rsidRPr="001B437E">
        <w:rPr>
          <w:rFonts w:ascii="Calibri" w:cs="Calibri"/>
          <w:i/>
          <w:iCs/>
          <w:sz w:val="22"/>
          <w:lang w:val="en-US"/>
        </w:rPr>
        <w:t>Science of The Total Environment</w:t>
      </w:r>
      <w:r w:rsidRPr="001B437E">
        <w:rPr>
          <w:rFonts w:ascii="Calibri" w:cs="Calibri"/>
          <w:sz w:val="22"/>
          <w:lang w:val="en-US"/>
        </w:rPr>
        <w:t xml:space="preserve"> 2017; 580: 1483–1488.</w:t>
      </w:r>
    </w:p>
    <w:p w14:paraId="0B68864B" w14:textId="77777777" w:rsidR="003C098D" w:rsidRDefault="001B437E" w:rsidP="003C098D">
      <w:pPr>
        <w:pStyle w:val="Bibliography"/>
        <w:rPr>
          <w:rFonts w:ascii="Calibri" w:cs="Calibri"/>
          <w:sz w:val="22"/>
          <w:lang w:val="en-US"/>
        </w:rPr>
      </w:pPr>
      <w:r w:rsidRPr="001B437E">
        <w:rPr>
          <w:rFonts w:ascii="Calibri" w:cs="Calibri"/>
          <w:sz w:val="22"/>
          <w:lang w:val="en-US"/>
        </w:rPr>
        <w:t xml:space="preserve">37. </w:t>
      </w:r>
      <w:r w:rsidRPr="001B437E">
        <w:rPr>
          <w:rFonts w:ascii="Calibri" w:cs="Calibri"/>
          <w:sz w:val="22"/>
          <w:lang w:val="en-US"/>
        </w:rPr>
        <w:tab/>
        <w:t xml:space="preserve">Crouse DL, Pinault L, Balram A, Hystad P, Peters PA, Chen H, van Donkelaar A, Martin RV, Ménard R, Robichaud A, Villeneuve PJ. Urban greenness and mortality in Canada’s largest cities: a national cohort study. </w:t>
      </w:r>
      <w:r w:rsidRPr="001B437E">
        <w:rPr>
          <w:rFonts w:ascii="Calibri" w:cs="Calibri"/>
          <w:i/>
          <w:iCs/>
          <w:sz w:val="22"/>
          <w:lang w:val="en-US"/>
        </w:rPr>
        <w:t>The Lancet Planetary Health</w:t>
      </w:r>
      <w:r w:rsidRPr="001B437E">
        <w:rPr>
          <w:rFonts w:ascii="Calibri" w:cs="Calibri"/>
          <w:sz w:val="22"/>
          <w:lang w:val="en-US"/>
        </w:rPr>
        <w:t xml:space="preserve"> 2017; 1: e289–e297.</w:t>
      </w:r>
    </w:p>
    <w:p w14:paraId="33944BFD" w14:textId="4A49C71D" w:rsidR="00E62506" w:rsidRPr="007264CA" w:rsidRDefault="00E62506" w:rsidP="007264CA">
      <w:pPr>
        <w:pStyle w:val="Bibliography"/>
        <w:rPr>
          <w:rFonts w:ascii="Calibri" w:cs="Calibri"/>
          <w:sz w:val="22"/>
          <w:lang w:val="en-US"/>
        </w:rPr>
      </w:pPr>
      <w:r w:rsidRPr="007264CA">
        <w:rPr>
          <w:rFonts w:ascii="Calibri" w:cs="Calibri"/>
          <w:sz w:val="22"/>
          <w:lang w:val="en-US"/>
        </w:rPr>
        <w:lastRenderedPageBreak/>
        <w:t xml:space="preserve">38.   </w:t>
      </w:r>
      <w:r w:rsidR="00D4545E">
        <w:rPr>
          <w:rFonts w:ascii="Calibri" w:cs="Calibri"/>
          <w:sz w:val="22"/>
          <w:lang w:val="en-US"/>
        </w:rPr>
        <w:t>Barwise Y</w:t>
      </w:r>
      <w:r w:rsidR="00FD603F">
        <w:rPr>
          <w:rFonts w:ascii="Calibri" w:cs="Calibri"/>
          <w:sz w:val="22"/>
          <w:lang w:val="en-US"/>
        </w:rPr>
        <w:t xml:space="preserve">, Kumar P. </w:t>
      </w:r>
      <w:r w:rsidRPr="007264CA">
        <w:rPr>
          <w:rFonts w:ascii="Calibri" w:cs="Calibri"/>
          <w:sz w:val="22"/>
          <w:lang w:val="en-US"/>
        </w:rPr>
        <w:t>Designing vegetation barriers for urban air pollution abatement: a practical review for appropriate plant species selection</w:t>
      </w:r>
      <w:r w:rsidR="00FD603F">
        <w:rPr>
          <w:rFonts w:ascii="Calibri" w:cs="Calibri"/>
          <w:sz w:val="22"/>
          <w:lang w:val="en-US"/>
        </w:rPr>
        <w:t xml:space="preserve">. </w:t>
      </w:r>
      <w:r w:rsidR="001604F4" w:rsidRPr="007264CA">
        <w:rPr>
          <w:rFonts w:ascii="Calibri" w:cs="Calibri"/>
          <w:i/>
          <w:iCs/>
          <w:sz w:val="22"/>
          <w:lang w:val="en-US"/>
        </w:rPr>
        <w:t xml:space="preserve">npj Clim and </w:t>
      </w:r>
      <w:r w:rsidR="005F3390" w:rsidRPr="005F3390">
        <w:rPr>
          <w:rFonts w:ascii="Calibri" w:cs="Calibri"/>
          <w:i/>
          <w:iCs/>
          <w:sz w:val="22"/>
          <w:lang w:val="en-US"/>
        </w:rPr>
        <w:t>Atmos</w:t>
      </w:r>
      <w:r w:rsidR="001604F4" w:rsidRPr="007264CA">
        <w:rPr>
          <w:rFonts w:ascii="Calibri" w:cs="Calibri"/>
          <w:i/>
          <w:iCs/>
          <w:sz w:val="22"/>
          <w:lang w:val="en-US"/>
        </w:rPr>
        <w:t xml:space="preserve"> Sci</w:t>
      </w:r>
      <w:r w:rsidR="005F3390">
        <w:rPr>
          <w:rFonts w:ascii="Calibri" w:cs="Calibri"/>
          <w:sz w:val="22"/>
          <w:lang w:val="en-US"/>
        </w:rPr>
        <w:t xml:space="preserve"> 2020; 3</w:t>
      </w:r>
      <w:r w:rsidR="004A74B6">
        <w:rPr>
          <w:rFonts w:ascii="Calibri" w:cs="Calibri"/>
          <w:sz w:val="22"/>
          <w:lang w:val="en-US"/>
        </w:rPr>
        <w:t>(</w:t>
      </w:r>
      <w:r w:rsidR="005F3390">
        <w:rPr>
          <w:rFonts w:ascii="Calibri" w:cs="Calibri"/>
          <w:sz w:val="22"/>
          <w:lang w:val="en-US"/>
        </w:rPr>
        <w:t>12</w:t>
      </w:r>
      <w:r w:rsidR="004A74B6">
        <w:rPr>
          <w:rFonts w:ascii="Calibri" w:cs="Calibri"/>
          <w:sz w:val="22"/>
          <w:lang w:val="en-US"/>
        </w:rPr>
        <w:t xml:space="preserve">). </w:t>
      </w:r>
      <w:r w:rsidR="004A74B6" w:rsidRPr="00155244">
        <w:rPr>
          <w:rFonts w:ascii="Calibri" w:cs="Calibri"/>
          <w:i/>
          <w:iCs/>
          <w:sz w:val="22"/>
        </w:rPr>
        <w:t>doi</w:t>
      </w:r>
      <w:r w:rsidR="004A74B6">
        <w:rPr>
          <w:rFonts w:ascii="Calibri" w:cs="Calibri"/>
          <w:sz w:val="22"/>
        </w:rPr>
        <w:t>: 10.1038/s41612-020-0115-3.</w:t>
      </w:r>
      <w:r w:rsidR="0004204F">
        <w:rPr>
          <w:rFonts w:ascii="Calibri" w:cs="Calibri"/>
          <w:sz w:val="22"/>
          <w:lang w:val="en-US"/>
        </w:rPr>
        <w:t xml:space="preserve"> </w:t>
      </w:r>
      <w:r w:rsidR="00FD603F">
        <w:rPr>
          <w:rFonts w:ascii="Calibri" w:cs="Calibri"/>
          <w:sz w:val="22"/>
          <w:lang w:val="en-US"/>
        </w:rPr>
        <w:t xml:space="preserve"> </w:t>
      </w:r>
    </w:p>
    <w:p w14:paraId="5A079803" w14:textId="77777777" w:rsidR="00E62506" w:rsidRPr="007264CA" w:rsidRDefault="00E62506" w:rsidP="007264CA">
      <w:pPr>
        <w:rPr>
          <w:lang w:val="en-US"/>
        </w:rPr>
      </w:pPr>
    </w:p>
    <w:p w14:paraId="139CB857" w14:textId="37F79BDB" w:rsidR="001B437E" w:rsidRPr="001B437E" w:rsidRDefault="001B437E" w:rsidP="001B437E">
      <w:pPr>
        <w:pStyle w:val="Bibliography"/>
        <w:rPr>
          <w:rFonts w:ascii="Calibri" w:cs="Calibri"/>
          <w:sz w:val="22"/>
          <w:lang w:val="en-US"/>
        </w:rPr>
      </w:pPr>
      <w:r w:rsidRPr="001B437E">
        <w:rPr>
          <w:rFonts w:ascii="Calibri" w:cs="Calibri"/>
          <w:sz w:val="22"/>
          <w:lang w:val="en-US"/>
        </w:rPr>
        <w:t>3</w:t>
      </w:r>
      <w:r w:rsidR="00E62506">
        <w:rPr>
          <w:rFonts w:ascii="Calibri" w:cs="Calibri"/>
          <w:sz w:val="22"/>
          <w:lang w:val="en-US"/>
        </w:rPr>
        <w:t>9</w:t>
      </w:r>
      <w:r w:rsidRPr="001B437E">
        <w:rPr>
          <w:rFonts w:ascii="Calibri" w:cs="Calibri"/>
          <w:sz w:val="22"/>
          <w:lang w:val="en-US"/>
        </w:rPr>
        <w:t xml:space="preserve">. </w:t>
      </w:r>
      <w:r w:rsidRPr="001B437E">
        <w:rPr>
          <w:rFonts w:ascii="Calibri" w:cs="Calibri"/>
          <w:sz w:val="22"/>
          <w:lang w:val="en-US"/>
        </w:rPr>
        <w:tab/>
        <w:t xml:space="preserve">Leung CC, Yew WW, Chan CK, Chang KC, Law WS, Lee SN, Tai LB, Leung ECC, Au RKF, Huang SS, Tam CM. Smoking adversely affects treatment response, outcome and relapse in tuberculosis. </w:t>
      </w:r>
      <w:r w:rsidRPr="001B437E">
        <w:rPr>
          <w:rFonts w:ascii="Calibri" w:cs="Calibri"/>
          <w:i/>
          <w:iCs/>
          <w:sz w:val="22"/>
          <w:lang w:val="en-US"/>
        </w:rPr>
        <w:t>European Respiratory Journal</w:t>
      </w:r>
      <w:r w:rsidRPr="001B437E">
        <w:rPr>
          <w:rFonts w:ascii="Calibri" w:cs="Calibri"/>
          <w:sz w:val="22"/>
          <w:lang w:val="en-US"/>
        </w:rPr>
        <w:t xml:space="preserve"> 2015; 45: 738–745.</w:t>
      </w:r>
    </w:p>
    <w:p w14:paraId="7E589B12" w14:textId="3122FFB8" w:rsidR="001B437E" w:rsidRPr="001B437E" w:rsidRDefault="00E62506" w:rsidP="001B437E">
      <w:pPr>
        <w:pStyle w:val="Bibliography"/>
        <w:rPr>
          <w:rFonts w:ascii="Calibri" w:cs="Calibri"/>
          <w:sz w:val="22"/>
          <w:lang w:val="en-US"/>
        </w:rPr>
      </w:pPr>
      <w:r>
        <w:rPr>
          <w:rFonts w:ascii="Calibri" w:cs="Calibri"/>
          <w:sz w:val="22"/>
          <w:lang w:val="en-US"/>
        </w:rPr>
        <w:t>40</w:t>
      </w:r>
      <w:r w:rsidR="001B437E" w:rsidRPr="001B437E">
        <w:rPr>
          <w:rFonts w:ascii="Calibri" w:cs="Calibri"/>
          <w:sz w:val="22"/>
          <w:lang w:val="en-US"/>
        </w:rPr>
        <w:t xml:space="preserve">. </w:t>
      </w:r>
      <w:r w:rsidR="001B437E" w:rsidRPr="001B437E">
        <w:rPr>
          <w:rFonts w:ascii="Calibri" w:cs="Calibri"/>
          <w:sz w:val="22"/>
          <w:lang w:val="en-US"/>
        </w:rPr>
        <w:tab/>
        <w:t xml:space="preserve">Balabanova Y, Ignatyeva O, Fiebig L, Riekstina V, Danilovits M, Jaama K, Davidaviciene E, Radiulyte B, Popa CM, Nikolayevskyy V, Drobniewski F. Survival of patients with multidrug-resistant TB in Eastern Europe: what makes a difference? </w:t>
      </w:r>
      <w:r w:rsidR="001B437E" w:rsidRPr="001B437E">
        <w:rPr>
          <w:rFonts w:ascii="Calibri" w:cs="Calibri"/>
          <w:i/>
          <w:iCs/>
          <w:sz w:val="22"/>
          <w:lang w:val="en-US"/>
        </w:rPr>
        <w:t>Thorax</w:t>
      </w:r>
      <w:r w:rsidR="001B437E" w:rsidRPr="001B437E">
        <w:rPr>
          <w:rFonts w:ascii="Calibri" w:cs="Calibri"/>
          <w:sz w:val="22"/>
          <w:lang w:val="en-US"/>
        </w:rPr>
        <w:t xml:space="preserve"> 2016; 71: 854–861.</w:t>
      </w:r>
    </w:p>
    <w:p w14:paraId="6898526C" w14:textId="256A5D2D" w:rsidR="00D25F7F" w:rsidRDefault="002E2AC6" w:rsidP="00C213B6">
      <w:pPr>
        <w:spacing w:line="360" w:lineRule="auto"/>
        <w:rPr>
          <w:b/>
          <w:bCs/>
          <w:sz w:val="22"/>
          <w:szCs w:val="22"/>
        </w:rPr>
      </w:pPr>
      <w:r>
        <w:rPr>
          <w:b/>
          <w:bCs/>
          <w:sz w:val="22"/>
          <w:szCs w:val="22"/>
        </w:rPr>
        <w:fldChar w:fldCharType="end"/>
      </w:r>
    </w:p>
    <w:p w14:paraId="7501453C" w14:textId="0A014FED" w:rsidR="00D25F7F" w:rsidRDefault="0012463E" w:rsidP="0012463E">
      <w:pPr>
        <w:rPr>
          <w:b/>
          <w:bCs/>
          <w:sz w:val="22"/>
          <w:szCs w:val="22"/>
        </w:rPr>
      </w:pPr>
      <w:r>
        <w:rPr>
          <w:b/>
          <w:bCs/>
          <w:sz w:val="22"/>
          <w:szCs w:val="22"/>
        </w:rPr>
        <w:br w:type="page"/>
      </w:r>
      <w:r w:rsidR="00D25F7F">
        <w:rPr>
          <w:b/>
          <w:bCs/>
          <w:sz w:val="22"/>
          <w:szCs w:val="22"/>
        </w:rPr>
        <w:lastRenderedPageBreak/>
        <w:t xml:space="preserve">Tables </w:t>
      </w:r>
    </w:p>
    <w:p w14:paraId="1BAE9E02" w14:textId="655523AA" w:rsidR="004B6F79" w:rsidRPr="004B6F79" w:rsidRDefault="004B6F79" w:rsidP="0012463E">
      <w:pPr>
        <w:keepNext/>
        <w:spacing w:after="100"/>
        <w:rPr>
          <w:rFonts w:ascii="Cambria" w:eastAsia="Cambria" w:hAnsi="Cambria" w:cs="Cambria"/>
          <w:i/>
          <w:iCs/>
          <w:color w:val="44546A" w:themeColor="text2"/>
          <w:sz w:val="18"/>
          <w:szCs w:val="18"/>
          <w:lang w:val="en-US"/>
        </w:rPr>
      </w:pPr>
      <w:r w:rsidRPr="004B6F79">
        <w:rPr>
          <w:rFonts w:ascii="Cambria" w:eastAsia="Cambria" w:hAnsi="Cambria" w:cs="Cambria"/>
          <w:i/>
          <w:iCs/>
          <w:color w:val="44546A" w:themeColor="text2"/>
          <w:sz w:val="18"/>
          <w:szCs w:val="18"/>
          <w:lang w:val="en-US"/>
        </w:rPr>
        <w:t xml:space="preserve">Table </w:t>
      </w:r>
      <w:r w:rsidRPr="004B6F79">
        <w:rPr>
          <w:rFonts w:ascii="Cambria" w:eastAsia="Cambria" w:hAnsi="Cambria" w:cs="Cambria"/>
          <w:i/>
          <w:iCs/>
          <w:color w:val="44546A" w:themeColor="text2"/>
          <w:sz w:val="18"/>
          <w:szCs w:val="18"/>
          <w:lang w:val="en-US"/>
        </w:rPr>
        <w:fldChar w:fldCharType="begin"/>
      </w:r>
      <w:r w:rsidRPr="004B6F79">
        <w:rPr>
          <w:rFonts w:ascii="Cambria" w:eastAsia="Cambria" w:hAnsi="Cambria" w:cs="Cambria"/>
          <w:i/>
          <w:iCs/>
          <w:color w:val="44546A" w:themeColor="text2"/>
          <w:sz w:val="18"/>
          <w:szCs w:val="18"/>
          <w:lang w:val="en-US"/>
        </w:rPr>
        <w:instrText xml:space="preserve"> SEQ Table \* ARABIC </w:instrText>
      </w:r>
      <w:r w:rsidRPr="004B6F79">
        <w:rPr>
          <w:rFonts w:ascii="Cambria" w:eastAsia="Cambria" w:hAnsi="Cambria" w:cs="Cambria"/>
          <w:i/>
          <w:iCs/>
          <w:color w:val="44546A" w:themeColor="text2"/>
          <w:sz w:val="18"/>
          <w:szCs w:val="18"/>
          <w:lang w:val="en-US"/>
        </w:rPr>
        <w:fldChar w:fldCharType="separate"/>
      </w:r>
      <w:r w:rsidR="00523F76">
        <w:rPr>
          <w:rFonts w:ascii="Cambria" w:eastAsia="Cambria" w:hAnsi="Cambria" w:cs="Cambria"/>
          <w:i/>
          <w:iCs/>
          <w:noProof/>
          <w:color w:val="44546A" w:themeColor="text2"/>
          <w:sz w:val="18"/>
          <w:szCs w:val="18"/>
          <w:lang w:val="en-US"/>
        </w:rPr>
        <w:t>1</w:t>
      </w:r>
      <w:r w:rsidRPr="004B6F79">
        <w:rPr>
          <w:rFonts w:ascii="Cambria" w:eastAsia="Cambria" w:hAnsi="Cambria" w:cs="Cambria"/>
          <w:i/>
          <w:iCs/>
          <w:color w:val="44546A" w:themeColor="text2"/>
          <w:sz w:val="18"/>
          <w:szCs w:val="18"/>
          <w:lang w:val="en-US"/>
        </w:rPr>
        <w:fldChar w:fldCharType="end"/>
      </w:r>
      <w:r>
        <w:rPr>
          <w:rFonts w:ascii="Cambria" w:eastAsia="Cambria" w:hAnsi="Cambria" w:cs="Cambria"/>
          <w:i/>
          <w:iCs/>
          <w:color w:val="44546A" w:themeColor="text2"/>
          <w:sz w:val="18"/>
          <w:szCs w:val="18"/>
          <w:lang w:val="en-US"/>
        </w:rPr>
        <w:t xml:space="preserve">. </w:t>
      </w:r>
      <w:r w:rsidRPr="004B6F79">
        <w:rPr>
          <w:rFonts w:ascii="Cambria" w:eastAsia="Cambria" w:hAnsi="Cambria" w:cs="Cambria"/>
          <w:i/>
          <w:iCs/>
          <w:color w:val="44546A" w:themeColor="text2"/>
          <w:sz w:val="18"/>
          <w:szCs w:val="18"/>
          <w:lang w:val="en-US"/>
        </w:rPr>
        <w:t xml:space="preserve"> Characteristics of individuals at baseline in the full cohort (n = 2,305) and across </w:t>
      </w:r>
      <w:proofErr w:type="spellStart"/>
      <w:r w:rsidRPr="004B6F79">
        <w:rPr>
          <w:rFonts w:ascii="Cambria" w:eastAsia="Cambria" w:hAnsi="Cambria" w:cs="Cambria"/>
          <w:i/>
          <w:iCs/>
          <w:color w:val="44546A" w:themeColor="text2"/>
          <w:sz w:val="18"/>
          <w:szCs w:val="18"/>
          <w:lang w:val="en-US"/>
        </w:rPr>
        <w:t>tertiles</w:t>
      </w:r>
      <w:proofErr w:type="spellEnd"/>
      <w:r w:rsidRPr="004B6F79">
        <w:rPr>
          <w:rFonts w:ascii="Cambria" w:eastAsia="Cambria" w:hAnsi="Cambria" w:cs="Cambria"/>
          <w:i/>
          <w:iCs/>
          <w:color w:val="44546A" w:themeColor="text2"/>
          <w:sz w:val="18"/>
          <w:szCs w:val="18"/>
          <w:lang w:val="en-US"/>
        </w:rPr>
        <w:t xml:space="preserve"> of greenness (</w:t>
      </w:r>
      <w:proofErr w:type="gramStart"/>
      <w:r w:rsidRPr="004B6F79">
        <w:rPr>
          <w:rFonts w:ascii="Cambria" w:eastAsia="Cambria" w:hAnsi="Cambria" w:cs="Cambria"/>
          <w:i/>
          <w:iCs/>
          <w:color w:val="44546A" w:themeColor="text2"/>
          <w:sz w:val="18"/>
          <w:szCs w:val="18"/>
          <w:lang w:val="en-US"/>
        </w:rPr>
        <w:t>i.e.</w:t>
      </w:r>
      <w:proofErr w:type="gramEnd"/>
      <w:r w:rsidRPr="004B6F79">
        <w:rPr>
          <w:rFonts w:ascii="Cambria" w:eastAsia="Cambria" w:hAnsi="Cambria" w:cs="Cambria"/>
          <w:i/>
          <w:iCs/>
          <w:color w:val="44546A" w:themeColor="text2"/>
          <w:sz w:val="18"/>
          <w:szCs w:val="18"/>
          <w:lang w:val="en-US"/>
        </w:rPr>
        <w:t xml:space="preserve"> NDVI)</w:t>
      </w:r>
      <w:r w:rsidR="004832BA">
        <w:rPr>
          <w:rFonts w:ascii="Cambria" w:eastAsia="Cambria" w:hAnsi="Cambria" w:cs="Cambria"/>
          <w:i/>
          <w:iCs/>
          <w:color w:val="44546A" w:themeColor="text2"/>
          <w:sz w:val="18"/>
          <w:szCs w:val="18"/>
          <w:lang w:val="en-US"/>
        </w:rPr>
        <w:t xml:space="preserve"> </w:t>
      </w:r>
      <w:r w:rsidRPr="004B6F79">
        <w:rPr>
          <w:rFonts w:ascii="Cambria" w:eastAsia="Cambria" w:hAnsi="Cambria" w:cs="Cambria"/>
          <w:i/>
          <w:iCs/>
          <w:color w:val="44546A" w:themeColor="text2"/>
          <w:sz w:val="18"/>
          <w:szCs w:val="18"/>
          <w:lang w:val="en-US"/>
        </w:rPr>
        <w:t xml:space="preserve">within 500m buffer around patient’s residence. </w:t>
      </w:r>
    </w:p>
    <w:tbl>
      <w:tblPr>
        <w:tblStyle w:val="TableGrid"/>
        <w:tblpPr w:leftFromText="180" w:rightFromText="180" w:vertAnchor="text" w:tblpY="1"/>
        <w:tblOverlap w:val="never"/>
        <w:tblW w:w="4624" w:type="pct"/>
        <w:tblInd w:w="0" w:type="dxa"/>
        <w:tblCellMar>
          <w:right w:w="100" w:type="dxa"/>
        </w:tblCellMar>
        <w:tblLook w:val="04A0" w:firstRow="1" w:lastRow="0" w:firstColumn="1" w:lastColumn="0" w:noHBand="0" w:noVBand="1"/>
      </w:tblPr>
      <w:tblGrid>
        <w:gridCol w:w="1985"/>
        <w:gridCol w:w="1974"/>
        <w:gridCol w:w="1572"/>
        <w:gridCol w:w="1671"/>
        <w:gridCol w:w="1454"/>
      </w:tblGrid>
      <w:tr w:rsidR="00DB7A7A" w:rsidRPr="004B6F79" w14:paraId="587446BB" w14:textId="77777777" w:rsidTr="00155244">
        <w:tc>
          <w:tcPr>
            <w:tcW w:w="1147" w:type="pct"/>
            <w:tcBorders>
              <w:top w:val="single" w:sz="4" w:space="0" w:color="auto"/>
              <w:left w:val="nil"/>
              <w:bottom w:val="nil"/>
              <w:right w:val="nil"/>
            </w:tcBorders>
          </w:tcPr>
          <w:p w14:paraId="2E0531E7" w14:textId="77777777" w:rsidR="00DB7A7A" w:rsidRPr="004B6F79" w:rsidRDefault="00DB7A7A" w:rsidP="00326A96">
            <w:pPr>
              <w:spacing w:line="259" w:lineRule="auto"/>
              <w:rPr>
                <w:rFonts w:eastAsia="Cambria" w:cstheme="minorHAnsi"/>
                <w:color w:val="000000"/>
                <w:sz w:val="18"/>
                <w:szCs w:val="18"/>
              </w:rPr>
            </w:pPr>
          </w:p>
        </w:tc>
        <w:tc>
          <w:tcPr>
            <w:tcW w:w="3853" w:type="pct"/>
            <w:gridSpan w:val="4"/>
            <w:tcBorders>
              <w:top w:val="single" w:sz="4" w:space="0" w:color="auto"/>
              <w:left w:val="nil"/>
              <w:bottom w:val="single" w:sz="4" w:space="0" w:color="auto"/>
              <w:right w:val="nil"/>
            </w:tcBorders>
            <w:vAlign w:val="center"/>
          </w:tcPr>
          <w:p w14:paraId="18583600" w14:textId="09B551CC" w:rsidR="00DB7A7A" w:rsidRPr="00BB0D77" w:rsidRDefault="00DB7A7A" w:rsidP="00326A96">
            <w:pPr>
              <w:spacing w:line="259" w:lineRule="auto"/>
              <w:jc w:val="center"/>
              <w:rPr>
                <w:rFonts w:eastAsia="Cambria" w:cstheme="minorHAnsi"/>
                <w:color w:val="000000"/>
                <w:sz w:val="18"/>
                <w:szCs w:val="18"/>
                <w:vertAlign w:val="superscript"/>
              </w:rPr>
            </w:pPr>
            <w:proofErr w:type="spellStart"/>
            <w:r w:rsidRPr="004B6F79">
              <w:rPr>
                <w:rFonts w:eastAsia="Cambria" w:cstheme="minorHAnsi"/>
                <w:b/>
                <w:color w:val="000000"/>
                <w:sz w:val="18"/>
                <w:szCs w:val="18"/>
              </w:rPr>
              <w:t>Greennesstertile</w:t>
            </w:r>
            <w:proofErr w:type="spellEnd"/>
            <w:r w:rsidRPr="007719C5">
              <w:rPr>
                <w:rFonts w:eastAsia="Cambria" w:cstheme="minorHAnsi"/>
                <w:b/>
                <w:color w:val="000000"/>
                <w:sz w:val="18"/>
                <w:szCs w:val="18"/>
                <w:vertAlign w:val="superscript"/>
              </w:rPr>
              <w:t>*</w:t>
            </w:r>
          </w:p>
        </w:tc>
      </w:tr>
      <w:tr w:rsidR="00DB7A7A" w:rsidRPr="004832BA" w14:paraId="1F4B5981" w14:textId="77777777" w:rsidTr="00155244">
        <w:tc>
          <w:tcPr>
            <w:tcW w:w="1147" w:type="pct"/>
            <w:tcBorders>
              <w:top w:val="nil"/>
              <w:left w:val="nil"/>
              <w:right w:val="nil"/>
            </w:tcBorders>
          </w:tcPr>
          <w:p w14:paraId="7FCA6B71" w14:textId="77777777" w:rsidR="00DB7A7A" w:rsidRPr="004B6F79" w:rsidRDefault="00DB7A7A" w:rsidP="00326A96">
            <w:pPr>
              <w:spacing w:line="259" w:lineRule="auto"/>
              <w:rPr>
                <w:rFonts w:eastAsia="Cambria" w:cstheme="minorHAnsi"/>
                <w:color w:val="000000"/>
                <w:sz w:val="18"/>
                <w:szCs w:val="18"/>
              </w:rPr>
            </w:pPr>
          </w:p>
        </w:tc>
        <w:tc>
          <w:tcPr>
            <w:tcW w:w="1140" w:type="pct"/>
            <w:tcBorders>
              <w:top w:val="single" w:sz="4" w:space="0" w:color="auto"/>
              <w:left w:val="nil"/>
              <w:right w:val="nil"/>
            </w:tcBorders>
            <w:vAlign w:val="center"/>
          </w:tcPr>
          <w:p w14:paraId="1388C364" w14:textId="77777777" w:rsidR="00DB7A7A" w:rsidRPr="004B6F79" w:rsidRDefault="00DB7A7A" w:rsidP="00326A96">
            <w:pPr>
              <w:spacing w:line="259" w:lineRule="auto"/>
              <w:jc w:val="center"/>
              <w:rPr>
                <w:rFonts w:eastAsia="Cambria" w:cstheme="minorHAnsi"/>
                <w:color w:val="000000"/>
                <w:sz w:val="18"/>
                <w:szCs w:val="18"/>
              </w:rPr>
            </w:pPr>
            <w:r w:rsidRPr="004B6F79">
              <w:rPr>
                <w:rFonts w:eastAsia="Cambria" w:cstheme="minorHAnsi"/>
                <w:b/>
                <w:color w:val="000000"/>
                <w:sz w:val="18"/>
                <w:szCs w:val="18"/>
              </w:rPr>
              <w:t>Full cohort (range</w:t>
            </w:r>
          </w:p>
          <w:p w14:paraId="00BC9831" w14:textId="77777777" w:rsidR="00DB7A7A" w:rsidRPr="004B6F79" w:rsidRDefault="00DB7A7A" w:rsidP="00326A96">
            <w:pPr>
              <w:spacing w:line="259" w:lineRule="auto"/>
              <w:ind w:left="179" w:hanging="10"/>
              <w:jc w:val="center"/>
              <w:rPr>
                <w:rFonts w:eastAsia="Cambria" w:cstheme="minorHAnsi"/>
                <w:color w:val="000000"/>
                <w:sz w:val="18"/>
                <w:szCs w:val="18"/>
              </w:rPr>
            </w:pPr>
            <w:r w:rsidRPr="004B6F79">
              <w:rPr>
                <w:rFonts w:eastAsia="Cambria" w:cstheme="minorHAnsi"/>
                <w:b/>
                <w:color w:val="000000"/>
                <w:sz w:val="18"/>
                <w:szCs w:val="18"/>
              </w:rPr>
              <w:t>0.008 to 0.850)</w:t>
            </w:r>
          </w:p>
        </w:tc>
        <w:tc>
          <w:tcPr>
            <w:tcW w:w="908" w:type="pct"/>
            <w:tcBorders>
              <w:top w:val="single" w:sz="4" w:space="0" w:color="auto"/>
              <w:left w:val="nil"/>
              <w:right w:val="nil"/>
            </w:tcBorders>
            <w:vAlign w:val="center"/>
          </w:tcPr>
          <w:p w14:paraId="5E274081" w14:textId="77777777" w:rsidR="00DB7A7A" w:rsidRPr="004B6F79" w:rsidRDefault="00DB7A7A" w:rsidP="00326A96">
            <w:pPr>
              <w:spacing w:line="259" w:lineRule="auto"/>
              <w:jc w:val="center"/>
              <w:rPr>
                <w:rFonts w:eastAsia="Cambria" w:cstheme="minorHAnsi"/>
                <w:color w:val="000000"/>
                <w:sz w:val="18"/>
                <w:szCs w:val="18"/>
              </w:rPr>
            </w:pPr>
            <w:proofErr w:type="spellStart"/>
            <w:r w:rsidRPr="004B6F79">
              <w:rPr>
                <w:rFonts w:eastAsia="Cambria" w:cstheme="minorHAnsi"/>
                <w:b/>
                <w:color w:val="000000"/>
                <w:sz w:val="18"/>
                <w:szCs w:val="18"/>
              </w:rPr>
              <w:t>Tertile</w:t>
            </w:r>
            <w:proofErr w:type="spellEnd"/>
            <w:r w:rsidRPr="004B6F79">
              <w:rPr>
                <w:rFonts w:eastAsia="Cambria" w:cstheme="minorHAnsi"/>
                <w:b/>
                <w:color w:val="000000"/>
                <w:sz w:val="18"/>
                <w:szCs w:val="18"/>
              </w:rPr>
              <w:t xml:space="preserve"> 1 (range</w:t>
            </w:r>
          </w:p>
          <w:p w14:paraId="22E27141" w14:textId="77777777" w:rsidR="00DB7A7A" w:rsidRPr="004B6F79" w:rsidRDefault="00DB7A7A" w:rsidP="00326A96">
            <w:pPr>
              <w:spacing w:line="259" w:lineRule="auto"/>
              <w:ind w:left="69" w:hanging="10"/>
              <w:jc w:val="center"/>
              <w:rPr>
                <w:rFonts w:eastAsia="Cambria" w:cstheme="minorHAnsi"/>
                <w:color w:val="000000"/>
                <w:sz w:val="18"/>
                <w:szCs w:val="18"/>
              </w:rPr>
            </w:pPr>
            <w:r w:rsidRPr="004B6F79">
              <w:rPr>
                <w:rFonts w:eastAsia="Cambria" w:cstheme="minorHAnsi"/>
                <w:b/>
                <w:color w:val="000000"/>
                <w:sz w:val="18"/>
                <w:szCs w:val="18"/>
              </w:rPr>
              <w:t>0.008 to 0.275)</w:t>
            </w:r>
          </w:p>
        </w:tc>
        <w:tc>
          <w:tcPr>
            <w:tcW w:w="965" w:type="pct"/>
            <w:tcBorders>
              <w:top w:val="single" w:sz="4" w:space="0" w:color="auto"/>
              <w:left w:val="nil"/>
              <w:right w:val="nil"/>
            </w:tcBorders>
            <w:vAlign w:val="center"/>
          </w:tcPr>
          <w:p w14:paraId="641F8821" w14:textId="77777777" w:rsidR="00DB7A7A" w:rsidRPr="004B6F79" w:rsidRDefault="00DB7A7A" w:rsidP="00326A96">
            <w:pPr>
              <w:spacing w:line="259" w:lineRule="auto"/>
              <w:jc w:val="center"/>
              <w:rPr>
                <w:rFonts w:eastAsia="Cambria" w:cstheme="minorHAnsi"/>
                <w:color w:val="000000"/>
                <w:sz w:val="18"/>
                <w:szCs w:val="18"/>
              </w:rPr>
            </w:pPr>
            <w:proofErr w:type="spellStart"/>
            <w:r w:rsidRPr="004B6F79">
              <w:rPr>
                <w:rFonts w:eastAsia="Cambria" w:cstheme="minorHAnsi"/>
                <w:b/>
                <w:color w:val="000000"/>
                <w:sz w:val="18"/>
                <w:szCs w:val="18"/>
              </w:rPr>
              <w:t>Tertile</w:t>
            </w:r>
            <w:proofErr w:type="spellEnd"/>
            <w:r w:rsidRPr="004B6F79">
              <w:rPr>
                <w:rFonts w:eastAsia="Cambria" w:cstheme="minorHAnsi"/>
                <w:b/>
                <w:color w:val="000000"/>
                <w:sz w:val="18"/>
                <w:szCs w:val="18"/>
              </w:rPr>
              <w:t xml:space="preserve"> 2 (range</w:t>
            </w:r>
          </w:p>
          <w:p w14:paraId="28B638B3" w14:textId="77777777" w:rsidR="00DB7A7A" w:rsidRPr="004B6F79" w:rsidRDefault="00DB7A7A" w:rsidP="00326A96">
            <w:pPr>
              <w:spacing w:line="259" w:lineRule="auto"/>
              <w:ind w:left="69" w:hanging="10"/>
              <w:jc w:val="center"/>
              <w:rPr>
                <w:rFonts w:eastAsia="Cambria" w:cstheme="minorHAnsi"/>
                <w:color w:val="000000"/>
                <w:sz w:val="18"/>
                <w:szCs w:val="18"/>
              </w:rPr>
            </w:pPr>
            <w:r w:rsidRPr="004B6F79">
              <w:rPr>
                <w:rFonts w:eastAsia="Cambria" w:cstheme="minorHAnsi"/>
                <w:b/>
                <w:color w:val="000000"/>
                <w:sz w:val="18"/>
                <w:szCs w:val="18"/>
              </w:rPr>
              <w:t>0.276 to 0.408)</w:t>
            </w:r>
          </w:p>
        </w:tc>
        <w:tc>
          <w:tcPr>
            <w:tcW w:w="841" w:type="pct"/>
            <w:tcBorders>
              <w:top w:val="single" w:sz="4" w:space="0" w:color="auto"/>
              <w:left w:val="nil"/>
              <w:right w:val="nil"/>
            </w:tcBorders>
            <w:vAlign w:val="center"/>
          </w:tcPr>
          <w:p w14:paraId="71A9F547" w14:textId="77777777" w:rsidR="00DB7A7A" w:rsidRPr="004B6F79" w:rsidRDefault="00DB7A7A" w:rsidP="00326A96">
            <w:pPr>
              <w:spacing w:line="259" w:lineRule="auto"/>
              <w:jc w:val="center"/>
              <w:rPr>
                <w:rFonts w:eastAsia="Cambria" w:cstheme="minorHAnsi"/>
                <w:color w:val="000000"/>
                <w:sz w:val="18"/>
                <w:szCs w:val="18"/>
              </w:rPr>
            </w:pPr>
            <w:proofErr w:type="spellStart"/>
            <w:r w:rsidRPr="004B6F79">
              <w:rPr>
                <w:rFonts w:eastAsia="Cambria" w:cstheme="minorHAnsi"/>
                <w:b/>
                <w:color w:val="000000"/>
                <w:sz w:val="18"/>
                <w:szCs w:val="18"/>
              </w:rPr>
              <w:t>Tertile</w:t>
            </w:r>
            <w:proofErr w:type="spellEnd"/>
            <w:r w:rsidRPr="004B6F79">
              <w:rPr>
                <w:rFonts w:eastAsia="Cambria" w:cstheme="minorHAnsi"/>
                <w:b/>
                <w:color w:val="000000"/>
                <w:sz w:val="18"/>
                <w:szCs w:val="18"/>
              </w:rPr>
              <w:t xml:space="preserve"> 3 (range</w:t>
            </w:r>
          </w:p>
          <w:p w14:paraId="2033A539" w14:textId="77777777" w:rsidR="00DB7A7A" w:rsidRPr="004B6F79" w:rsidRDefault="00DB7A7A" w:rsidP="00326A96">
            <w:pPr>
              <w:spacing w:line="259" w:lineRule="auto"/>
              <w:ind w:left="69" w:hanging="10"/>
              <w:jc w:val="center"/>
              <w:rPr>
                <w:rFonts w:eastAsia="Cambria" w:cstheme="minorHAnsi"/>
                <w:color w:val="000000"/>
                <w:sz w:val="18"/>
                <w:szCs w:val="18"/>
              </w:rPr>
            </w:pPr>
            <w:r w:rsidRPr="004B6F79">
              <w:rPr>
                <w:rFonts w:eastAsia="Cambria" w:cstheme="minorHAnsi"/>
                <w:b/>
                <w:color w:val="000000"/>
                <w:sz w:val="18"/>
                <w:szCs w:val="18"/>
              </w:rPr>
              <w:t>0.409 to 0.850)</w:t>
            </w:r>
          </w:p>
        </w:tc>
      </w:tr>
      <w:tr w:rsidR="00DB7A7A" w:rsidRPr="004832BA" w14:paraId="40F8FE85" w14:textId="77777777" w:rsidTr="00155244">
        <w:tc>
          <w:tcPr>
            <w:tcW w:w="1147" w:type="pct"/>
            <w:tcBorders>
              <w:top w:val="nil"/>
              <w:left w:val="nil"/>
              <w:bottom w:val="single" w:sz="3" w:space="0" w:color="000000"/>
              <w:right w:val="nil"/>
            </w:tcBorders>
            <w:vAlign w:val="center"/>
          </w:tcPr>
          <w:p w14:paraId="28B5711F" w14:textId="77777777" w:rsidR="00DB7A7A" w:rsidRPr="004B6F79" w:rsidRDefault="00DB7A7A" w:rsidP="00326A96">
            <w:pPr>
              <w:spacing w:line="259" w:lineRule="auto"/>
              <w:jc w:val="center"/>
              <w:rPr>
                <w:rFonts w:eastAsia="Cambria" w:cstheme="minorHAnsi"/>
                <w:color w:val="000000"/>
                <w:sz w:val="18"/>
                <w:szCs w:val="18"/>
              </w:rPr>
            </w:pPr>
          </w:p>
        </w:tc>
        <w:tc>
          <w:tcPr>
            <w:tcW w:w="1140" w:type="pct"/>
            <w:tcBorders>
              <w:top w:val="nil"/>
              <w:left w:val="nil"/>
              <w:bottom w:val="single" w:sz="3" w:space="0" w:color="000000"/>
              <w:right w:val="nil"/>
            </w:tcBorders>
            <w:vAlign w:val="center"/>
          </w:tcPr>
          <w:p w14:paraId="53C18222" w14:textId="77777777" w:rsidR="00DB7A7A" w:rsidRPr="004B6F79" w:rsidRDefault="00DB7A7A" w:rsidP="00326A96">
            <w:pPr>
              <w:spacing w:line="259" w:lineRule="auto"/>
              <w:ind w:right="100"/>
              <w:jc w:val="right"/>
              <w:rPr>
                <w:rFonts w:eastAsia="Cambria" w:cstheme="minorHAnsi"/>
                <w:color w:val="000000"/>
                <w:sz w:val="18"/>
                <w:szCs w:val="18"/>
              </w:rPr>
            </w:pPr>
            <w:proofErr w:type="gramStart"/>
            <w:r w:rsidRPr="004B6F79">
              <w:rPr>
                <w:rFonts w:eastAsia="Cambria" w:cstheme="minorHAnsi"/>
                <w:color w:val="000000"/>
                <w:sz w:val="18"/>
                <w:szCs w:val="18"/>
              </w:rPr>
              <w:t>n(</w:t>
            </w:r>
            <w:proofErr w:type="gramEnd"/>
            <w:r w:rsidRPr="004B6F79">
              <w:rPr>
                <w:rFonts w:eastAsia="Cambria" w:cstheme="minorHAnsi"/>
                <w:color w:val="000000"/>
                <w:sz w:val="18"/>
                <w:szCs w:val="18"/>
              </w:rPr>
              <w:t>%)</w:t>
            </w:r>
          </w:p>
        </w:tc>
        <w:tc>
          <w:tcPr>
            <w:tcW w:w="908" w:type="pct"/>
            <w:tcBorders>
              <w:top w:val="nil"/>
              <w:left w:val="nil"/>
              <w:bottom w:val="single" w:sz="3" w:space="0" w:color="000000"/>
              <w:right w:val="nil"/>
            </w:tcBorders>
            <w:vAlign w:val="center"/>
          </w:tcPr>
          <w:p w14:paraId="41AA4451" w14:textId="77777777" w:rsidR="00DB7A7A" w:rsidRPr="004B6F79" w:rsidRDefault="00DB7A7A" w:rsidP="00326A96">
            <w:pPr>
              <w:spacing w:line="259" w:lineRule="auto"/>
              <w:ind w:left="972"/>
              <w:jc w:val="right"/>
              <w:rPr>
                <w:rFonts w:eastAsia="Cambria" w:cstheme="minorHAnsi"/>
                <w:color w:val="000000"/>
                <w:sz w:val="18"/>
                <w:szCs w:val="18"/>
              </w:rPr>
            </w:pPr>
            <w:proofErr w:type="gramStart"/>
            <w:r w:rsidRPr="004B6F79">
              <w:rPr>
                <w:rFonts w:eastAsia="Cambria" w:cstheme="minorHAnsi"/>
                <w:color w:val="000000"/>
                <w:sz w:val="18"/>
                <w:szCs w:val="18"/>
              </w:rPr>
              <w:t>n(</w:t>
            </w:r>
            <w:proofErr w:type="gramEnd"/>
            <w:r w:rsidRPr="004B6F79">
              <w:rPr>
                <w:rFonts w:eastAsia="Cambria" w:cstheme="minorHAnsi"/>
                <w:color w:val="000000"/>
                <w:sz w:val="18"/>
                <w:szCs w:val="18"/>
              </w:rPr>
              <w:t>%)</w:t>
            </w:r>
          </w:p>
        </w:tc>
        <w:tc>
          <w:tcPr>
            <w:tcW w:w="965" w:type="pct"/>
            <w:tcBorders>
              <w:top w:val="nil"/>
              <w:left w:val="nil"/>
              <w:bottom w:val="single" w:sz="3" w:space="0" w:color="000000"/>
              <w:right w:val="nil"/>
            </w:tcBorders>
            <w:vAlign w:val="center"/>
          </w:tcPr>
          <w:p w14:paraId="3C0BBBD5" w14:textId="77777777" w:rsidR="00DB7A7A" w:rsidRPr="004B6F79" w:rsidRDefault="00DB7A7A" w:rsidP="00326A96">
            <w:pPr>
              <w:spacing w:line="259" w:lineRule="auto"/>
              <w:ind w:left="972"/>
              <w:jc w:val="right"/>
              <w:rPr>
                <w:rFonts w:eastAsia="Cambria" w:cstheme="minorHAnsi"/>
                <w:color w:val="000000"/>
                <w:sz w:val="18"/>
                <w:szCs w:val="18"/>
              </w:rPr>
            </w:pPr>
            <w:proofErr w:type="gramStart"/>
            <w:r w:rsidRPr="004B6F79">
              <w:rPr>
                <w:rFonts w:eastAsia="Cambria" w:cstheme="minorHAnsi"/>
                <w:color w:val="000000"/>
                <w:sz w:val="18"/>
                <w:szCs w:val="18"/>
              </w:rPr>
              <w:t>n(</w:t>
            </w:r>
            <w:proofErr w:type="gramEnd"/>
            <w:r w:rsidRPr="004B6F79">
              <w:rPr>
                <w:rFonts w:eastAsia="Cambria" w:cstheme="minorHAnsi"/>
                <w:color w:val="000000"/>
                <w:sz w:val="18"/>
                <w:szCs w:val="18"/>
              </w:rPr>
              <w:t>%)</w:t>
            </w:r>
          </w:p>
        </w:tc>
        <w:tc>
          <w:tcPr>
            <w:tcW w:w="841" w:type="pct"/>
            <w:tcBorders>
              <w:top w:val="nil"/>
              <w:left w:val="nil"/>
              <w:bottom w:val="single" w:sz="3" w:space="0" w:color="000000"/>
              <w:right w:val="nil"/>
            </w:tcBorders>
            <w:vAlign w:val="center"/>
          </w:tcPr>
          <w:p w14:paraId="29319D24" w14:textId="77777777" w:rsidR="00DB7A7A" w:rsidRPr="004B6F79" w:rsidRDefault="00DB7A7A" w:rsidP="00326A96">
            <w:pPr>
              <w:spacing w:line="259" w:lineRule="auto"/>
              <w:ind w:left="972"/>
              <w:jc w:val="right"/>
              <w:rPr>
                <w:rFonts w:eastAsia="Cambria" w:cstheme="minorHAnsi"/>
                <w:color w:val="000000"/>
                <w:sz w:val="18"/>
                <w:szCs w:val="18"/>
              </w:rPr>
            </w:pPr>
            <w:proofErr w:type="gramStart"/>
            <w:r w:rsidRPr="004B6F79">
              <w:rPr>
                <w:rFonts w:eastAsia="Cambria" w:cstheme="minorHAnsi"/>
                <w:color w:val="000000"/>
                <w:sz w:val="18"/>
                <w:szCs w:val="18"/>
              </w:rPr>
              <w:t>n(</w:t>
            </w:r>
            <w:proofErr w:type="gramEnd"/>
            <w:r w:rsidRPr="004B6F79">
              <w:rPr>
                <w:rFonts w:eastAsia="Cambria" w:cstheme="minorHAnsi"/>
                <w:color w:val="000000"/>
                <w:sz w:val="18"/>
                <w:szCs w:val="18"/>
              </w:rPr>
              <w:t>%)</w:t>
            </w:r>
          </w:p>
        </w:tc>
      </w:tr>
      <w:tr w:rsidR="00DB7A7A" w:rsidRPr="004832BA" w14:paraId="056F51C0" w14:textId="77777777" w:rsidTr="00155244">
        <w:tc>
          <w:tcPr>
            <w:tcW w:w="1147" w:type="pct"/>
            <w:tcBorders>
              <w:top w:val="single" w:sz="3" w:space="0" w:color="000000"/>
              <w:left w:val="nil"/>
              <w:bottom w:val="nil"/>
              <w:right w:val="nil"/>
            </w:tcBorders>
          </w:tcPr>
          <w:p w14:paraId="2B490251"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All patients</w:t>
            </w:r>
          </w:p>
        </w:tc>
        <w:tc>
          <w:tcPr>
            <w:tcW w:w="1140" w:type="pct"/>
            <w:tcBorders>
              <w:top w:val="single" w:sz="3" w:space="0" w:color="000000"/>
              <w:left w:val="nil"/>
              <w:bottom w:val="nil"/>
              <w:right w:val="nil"/>
            </w:tcBorders>
          </w:tcPr>
          <w:p w14:paraId="2AEABAA3" w14:textId="77777777" w:rsidR="00DB7A7A" w:rsidRPr="004B6F79" w:rsidRDefault="00DB7A7A" w:rsidP="00326A96">
            <w:pPr>
              <w:ind w:left="720"/>
              <w:contextualSpacing/>
              <w:jc w:val="both"/>
              <w:rPr>
                <w:rFonts w:eastAsia="Cambria" w:cstheme="minorHAnsi"/>
                <w:color w:val="000000"/>
                <w:sz w:val="18"/>
                <w:szCs w:val="18"/>
              </w:rPr>
            </w:pPr>
            <w:r w:rsidRPr="004B6F79">
              <w:rPr>
                <w:rFonts w:eastAsia="Cambria" w:cstheme="minorHAnsi"/>
                <w:color w:val="000000"/>
                <w:sz w:val="18"/>
                <w:szCs w:val="18"/>
              </w:rPr>
              <w:t>2,305 (100)</w:t>
            </w:r>
          </w:p>
        </w:tc>
        <w:tc>
          <w:tcPr>
            <w:tcW w:w="908" w:type="pct"/>
            <w:tcBorders>
              <w:top w:val="single" w:sz="3" w:space="0" w:color="000000"/>
              <w:left w:val="nil"/>
              <w:bottom w:val="nil"/>
              <w:right w:val="nil"/>
            </w:tcBorders>
          </w:tcPr>
          <w:p w14:paraId="0A06D78F" w14:textId="77777777" w:rsidR="00DB7A7A" w:rsidRPr="004B6F79" w:rsidRDefault="00DB7A7A" w:rsidP="00326A96">
            <w:pPr>
              <w:spacing w:line="259" w:lineRule="auto"/>
              <w:ind w:left="595"/>
              <w:jc w:val="both"/>
              <w:rPr>
                <w:rFonts w:eastAsia="Cambria" w:cstheme="minorHAnsi"/>
                <w:color w:val="000000"/>
                <w:sz w:val="18"/>
                <w:szCs w:val="18"/>
              </w:rPr>
            </w:pPr>
            <w:r w:rsidRPr="004B6F79">
              <w:rPr>
                <w:rFonts w:eastAsia="Cambria" w:cstheme="minorHAnsi"/>
                <w:color w:val="000000"/>
                <w:sz w:val="18"/>
                <w:szCs w:val="18"/>
              </w:rPr>
              <w:t>692 (30.0)</w:t>
            </w:r>
          </w:p>
        </w:tc>
        <w:tc>
          <w:tcPr>
            <w:tcW w:w="965" w:type="pct"/>
            <w:tcBorders>
              <w:top w:val="single" w:sz="3" w:space="0" w:color="000000"/>
              <w:left w:val="nil"/>
              <w:bottom w:val="nil"/>
              <w:right w:val="nil"/>
            </w:tcBorders>
          </w:tcPr>
          <w:p w14:paraId="43884258" w14:textId="77777777" w:rsidR="00DB7A7A" w:rsidRPr="004B6F79" w:rsidRDefault="00DB7A7A" w:rsidP="00326A96">
            <w:pPr>
              <w:spacing w:line="259" w:lineRule="auto"/>
              <w:ind w:left="595"/>
              <w:jc w:val="both"/>
              <w:rPr>
                <w:rFonts w:eastAsia="Cambria" w:cstheme="minorHAnsi"/>
                <w:color w:val="000000"/>
                <w:sz w:val="18"/>
                <w:szCs w:val="18"/>
              </w:rPr>
            </w:pPr>
            <w:r w:rsidRPr="004B6F79">
              <w:rPr>
                <w:rFonts w:eastAsia="Cambria" w:cstheme="minorHAnsi"/>
                <w:color w:val="000000"/>
                <w:sz w:val="18"/>
                <w:szCs w:val="18"/>
              </w:rPr>
              <w:t>691 (29.9)</w:t>
            </w:r>
          </w:p>
        </w:tc>
        <w:tc>
          <w:tcPr>
            <w:tcW w:w="841" w:type="pct"/>
            <w:tcBorders>
              <w:top w:val="single" w:sz="3" w:space="0" w:color="000000"/>
              <w:left w:val="nil"/>
              <w:bottom w:val="nil"/>
              <w:right w:val="nil"/>
            </w:tcBorders>
          </w:tcPr>
          <w:p w14:paraId="5D66090D" w14:textId="77777777" w:rsidR="00DB7A7A" w:rsidRPr="004B6F79" w:rsidRDefault="00DB7A7A" w:rsidP="00326A96">
            <w:pPr>
              <w:spacing w:line="259" w:lineRule="auto"/>
              <w:ind w:left="595"/>
              <w:jc w:val="both"/>
              <w:rPr>
                <w:rFonts w:eastAsia="Cambria" w:cstheme="minorHAnsi"/>
                <w:color w:val="000000"/>
                <w:sz w:val="18"/>
                <w:szCs w:val="18"/>
              </w:rPr>
            </w:pPr>
            <w:r w:rsidRPr="004B6F79">
              <w:rPr>
                <w:rFonts w:eastAsia="Cambria" w:cstheme="minorHAnsi"/>
                <w:color w:val="000000"/>
                <w:sz w:val="18"/>
                <w:szCs w:val="18"/>
              </w:rPr>
              <w:t>922 (40.0)</w:t>
            </w:r>
          </w:p>
        </w:tc>
      </w:tr>
      <w:tr w:rsidR="00DB7A7A" w:rsidRPr="004832BA" w14:paraId="45700207" w14:textId="77777777" w:rsidTr="00155244">
        <w:tc>
          <w:tcPr>
            <w:tcW w:w="1147" w:type="pct"/>
            <w:tcBorders>
              <w:top w:val="nil"/>
              <w:left w:val="nil"/>
              <w:bottom w:val="nil"/>
              <w:right w:val="nil"/>
            </w:tcBorders>
          </w:tcPr>
          <w:p w14:paraId="1A9FF4D7"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sex</w:t>
            </w:r>
          </w:p>
        </w:tc>
        <w:tc>
          <w:tcPr>
            <w:tcW w:w="1140" w:type="pct"/>
            <w:tcBorders>
              <w:top w:val="nil"/>
              <w:left w:val="nil"/>
              <w:bottom w:val="nil"/>
              <w:right w:val="nil"/>
            </w:tcBorders>
          </w:tcPr>
          <w:p w14:paraId="05809787"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3141CB18"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44192246"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1344A702"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2B421CFA" w14:textId="77777777" w:rsidTr="00155244">
        <w:tc>
          <w:tcPr>
            <w:tcW w:w="1147" w:type="pct"/>
            <w:tcBorders>
              <w:top w:val="nil"/>
              <w:left w:val="nil"/>
              <w:bottom w:val="nil"/>
              <w:right w:val="nil"/>
            </w:tcBorders>
          </w:tcPr>
          <w:p w14:paraId="750AAE2A"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Male</w:t>
            </w:r>
          </w:p>
        </w:tc>
        <w:tc>
          <w:tcPr>
            <w:tcW w:w="1140" w:type="pct"/>
            <w:tcBorders>
              <w:top w:val="nil"/>
              <w:left w:val="nil"/>
              <w:bottom w:val="nil"/>
              <w:right w:val="nil"/>
            </w:tcBorders>
          </w:tcPr>
          <w:p w14:paraId="35C8897A"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1,674 (72.6)</w:t>
            </w:r>
          </w:p>
        </w:tc>
        <w:tc>
          <w:tcPr>
            <w:tcW w:w="908" w:type="pct"/>
            <w:tcBorders>
              <w:top w:val="nil"/>
              <w:left w:val="nil"/>
              <w:bottom w:val="nil"/>
              <w:right w:val="nil"/>
            </w:tcBorders>
          </w:tcPr>
          <w:p w14:paraId="694EEFD9"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500 (21.7)</w:t>
            </w:r>
          </w:p>
        </w:tc>
        <w:tc>
          <w:tcPr>
            <w:tcW w:w="965" w:type="pct"/>
            <w:tcBorders>
              <w:top w:val="nil"/>
              <w:left w:val="nil"/>
              <w:bottom w:val="nil"/>
              <w:right w:val="nil"/>
            </w:tcBorders>
          </w:tcPr>
          <w:p w14:paraId="14545291"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469 (20.3)</w:t>
            </w:r>
          </w:p>
        </w:tc>
        <w:tc>
          <w:tcPr>
            <w:tcW w:w="841" w:type="pct"/>
            <w:tcBorders>
              <w:top w:val="nil"/>
              <w:left w:val="nil"/>
              <w:bottom w:val="nil"/>
              <w:right w:val="nil"/>
            </w:tcBorders>
          </w:tcPr>
          <w:p w14:paraId="01F04C63"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705 (30.6)</w:t>
            </w:r>
          </w:p>
        </w:tc>
      </w:tr>
      <w:tr w:rsidR="00DB7A7A" w:rsidRPr="004832BA" w14:paraId="6361FF7F" w14:textId="77777777" w:rsidTr="00155244">
        <w:tc>
          <w:tcPr>
            <w:tcW w:w="1147" w:type="pct"/>
            <w:tcBorders>
              <w:top w:val="nil"/>
              <w:left w:val="nil"/>
              <w:bottom w:val="nil"/>
              <w:right w:val="nil"/>
            </w:tcBorders>
          </w:tcPr>
          <w:p w14:paraId="225E7A1D"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Female</w:t>
            </w:r>
          </w:p>
        </w:tc>
        <w:tc>
          <w:tcPr>
            <w:tcW w:w="1140" w:type="pct"/>
            <w:tcBorders>
              <w:top w:val="nil"/>
              <w:left w:val="nil"/>
              <w:bottom w:val="nil"/>
              <w:right w:val="nil"/>
            </w:tcBorders>
          </w:tcPr>
          <w:p w14:paraId="1D7F7577"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631 (27.4)</w:t>
            </w:r>
          </w:p>
        </w:tc>
        <w:tc>
          <w:tcPr>
            <w:tcW w:w="908" w:type="pct"/>
            <w:tcBorders>
              <w:top w:val="nil"/>
              <w:left w:val="nil"/>
              <w:bottom w:val="nil"/>
              <w:right w:val="nil"/>
            </w:tcBorders>
          </w:tcPr>
          <w:p w14:paraId="3DCA2248"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192 (8.33)</w:t>
            </w:r>
          </w:p>
        </w:tc>
        <w:tc>
          <w:tcPr>
            <w:tcW w:w="965" w:type="pct"/>
            <w:tcBorders>
              <w:top w:val="nil"/>
              <w:left w:val="nil"/>
              <w:bottom w:val="nil"/>
              <w:right w:val="nil"/>
            </w:tcBorders>
          </w:tcPr>
          <w:p w14:paraId="0E920C03"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222 (9.63)</w:t>
            </w:r>
          </w:p>
        </w:tc>
        <w:tc>
          <w:tcPr>
            <w:tcW w:w="841" w:type="pct"/>
            <w:tcBorders>
              <w:top w:val="nil"/>
              <w:left w:val="nil"/>
              <w:bottom w:val="nil"/>
              <w:right w:val="nil"/>
            </w:tcBorders>
          </w:tcPr>
          <w:p w14:paraId="13E37921"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217 (9.41)</w:t>
            </w:r>
          </w:p>
        </w:tc>
      </w:tr>
      <w:tr w:rsidR="00DB7A7A" w:rsidRPr="004832BA" w14:paraId="25878994" w14:textId="77777777" w:rsidTr="00155244">
        <w:tc>
          <w:tcPr>
            <w:tcW w:w="1147" w:type="pct"/>
            <w:tcBorders>
              <w:top w:val="nil"/>
              <w:left w:val="nil"/>
              <w:bottom w:val="nil"/>
              <w:right w:val="nil"/>
            </w:tcBorders>
          </w:tcPr>
          <w:p w14:paraId="419396E2"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age (years)</w:t>
            </w:r>
          </w:p>
        </w:tc>
        <w:tc>
          <w:tcPr>
            <w:tcW w:w="1140" w:type="pct"/>
            <w:tcBorders>
              <w:top w:val="nil"/>
              <w:left w:val="nil"/>
              <w:bottom w:val="nil"/>
              <w:right w:val="nil"/>
            </w:tcBorders>
          </w:tcPr>
          <w:p w14:paraId="56103D95"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48176308"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443F04F2"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40AD85FD"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60A7B16C" w14:textId="77777777" w:rsidTr="00155244">
        <w:tc>
          <w:tcPr>
            <w:tcW w:w="1147" w:type="pct"/>
            <w:tcBorders>
              <w:top w:val="nil"/>
              <w:left w:val="nil"/>
              <w:bottom w:val="nil"/>
              <w:right w:val="nil"/>
            </w:tcBorders>
          </w:tcPr>
          <w:p w14:paraId="5BB5AC89"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0 − 59</w:t>
            </w:r>
          </w:p>
        </w:tc>
        <w:tc>
          <w:tcPr>
            <w:tcW w:w="1140" w:type="pct"/>
            <w:tcBorders>
              <w:top w:val="nil"/>
              <w:left w:val="nil"/>
              <w:bottom w:val="nil"/>
              <w:right w:val="nil"/>
            </w:tcBorders>
          </w:tcPr>
          <w:p w14:paraId="63A8DF54"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1,664 (72.2)</w:t>
            </w:r>
          </w:p>
        </w:tc>
        <w:tc>
          <w:tcPr>
            <w:tcW w:w="908" w:type="pct"/>
            <w:tcBorders>
              <w:top w:val="nil"/>
              <w:left w:val="nil"/>
              <w:bottom w:val="nil"/>
              <w:right w:val="nil"/>
            </w:tcBorders>
          </w:tcPr>
          <w:p w14:paraId="608C985E"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541 (23.5)</w:t>
            </w:r>
          </w:p>
        </w:tc>
        <w:tc>
          <w:tcPr>
            <w:tcW w:w="965" w:type="pct"/>
            <w:tcBorders>
              <w:top w:val="nil"/>
              <w:left w:val="nil"/>
              <w:bottom w:val="nil"/>
              <w:right w:val="nil"/>
            </w:tcBorders>
          </w:tcPr>
          <w:p w14:paraId="0CBE3BD9"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522 (22.6)</w:t>
            </w:r>
          </w:p>
        </w:tc>
        <w:tc>
          <w:tcPr>
            <w:tcW w:w="841" w:type="pct"/>
            <w:tcBorders>
              <w:top w:val="nil"/>
              <w:left w:val="nil"/>
              <w:bottom w:val="nil"/>
              <w:right w:val="nil"/>
            </w:tcBorders>
          </w:tcPr>
          <w:p w14:paraId="790AA44F"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601 (26.1)</w:t>
            </w:r>
          </w:p>
        </w:tc>
      </w:tr>
      <w:tr w:rsidR="00DB7A7A" w:rsidRPr="004832BA" w14:paraId="5A155514" w14:textId="77777777" w:rsidTr="00155244">
        <w:tc>
          <w:tcPr>
            <w:tcW w:w="1147" w:type="pct"/>
            <w:tcBorders>
              <w:top w:val="nil"/>
              <w:left w:val="nil"/>
              <w:bottom w:val="nil"/>
              <w:right w:val="nil"/>
            </w:tcBorders>
          </w:tcPr>
          <w:p w14:paraId="1C4E6FC7"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 60</w:t>
            </w:r>
          </w:p>
        </w:tc>
        <w:tc>
          <w:tcPr>
            <w:tcW w:w="1140" w:type="pct"/>
            <w:tcBorders>
              <w:top w:val="nil"/>
              <w:left w:val="nil"/>
              <w:bottom w:val="nil"/>
              <w:right w:val="nil"/>
            </w:tcBorders>
          </w:tcPr>
          <w:p w14:paraId="0822DC38"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641 (27.8)</w:t>
            </w:r>
          </w:p>
        </w:tc>
        <w:tc>
          <w:tcPr>
            <w:tcW w:w="908" w:type="pct"/>
            <w:tcBorders>
              <w:top w:val="nil"/>
              <w:left w:val="nil"/>
              <w:bottom w:val="nil"/>
              <w:right w:val="nil"/>
            </w:tcBorders>
          </w:tcPr>
          <w:p w14:paraId="3C67094A"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151 (6.55)</w:t>
            </w:r>
          </w:p>
        </w:tc>
        <w:tc>
          <w:tcPr>
            <w:tcW w:w="965" w:type="pct"/>
            <w:tcBorders>
              <w:top w:val="nil"/>
              <w:left w:val="nil"/>
              <w:bottom w:val="nil"/>
              <w:right w:val="nil"/>
            </w:tcBorders>
          </w:tcPr>
          <w:p w14:paraId="57DC3785"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169 (7.33)</w:t>
            </w:r>
          </w:p>
        </w:tc>
        <w:tc>
          <w:tcPr>
            <w:tcW w:w="841" w:type="pct"/>
            <w:tcBorders>
              <w:top w:val="nil"/>
              <w:left w:val="nil"/>
              <w:bottom w:val="nil"/>
              <w:right w:val="nil"/>
            </w:tcBorders>
          </w:tcPr>
          <w:p w14:paraId="364AC8C7"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321 (13.9)</w:t>
            </w:r>
          </w:p>
        </w:tc>
      </w:tr>
      <w:tr w:rsidR="00DB7A7A" w:rsidRPr="004832BA" w14:paraId="4BDDF59A" w14:textId="77777777" w:rsidTr="00155244">
        <w:tc>
          <w:tcPr>
            <w:tcW w:w="1147" w:type="pct"/>
            <w:tcBorders>
              <w:top w:val="nil"/>
              <w:left w:val="nil"/>
              <w:bottom w:val="nil"/>
              <w:right w:val="nil"/>
            </w:tcBorders>
          </w:tcPr>
          <w:p w14:paraId="7F6DCA96"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ethnicity</w:t>
            </w:r>
          </w:p>
        </w:tc>
        <w:tc>
          <w:tcPr>
            <w:tcW w:w="1140" w:type="pct"/>
            <w:tcBorders>
              <w:top w:val="nil"/>
              <w:left w:val="nil"/>
              <w:bottom w:val="nil"/>
              <w:right w:val="nil"/>
            </w:tcBorders>
          </w:tcPr>
          <w:p w14:paraId="3201D308"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0B099B2C"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0A92A27B"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367004B4"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208B172C" w14:textId="77777777" w:rsidTr="00155244">
        <w:tc>
          <w:tcPr>
            <w:tcW w:w="1147" w:type="pct"/>
            <w:tcBorders>
              <w:top w:val="nil"/>
              <w:left w:val="nil"/>
              <w:bottom w:val="nil"/>
              <w:right w:val="nil"/>
            </w:tcBorders>
          </w:tcPr>
          <w:p w14:paraId="1D23E785"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Han</w:t>
            </w:r>
          </w:p>
        </w:tc>
        <w:tc>
          <w:tcPr>
            <w:tcW w:w="1140" w:type="pct"/>
            <w:tcBorders>
              <w:top w:val="nil"/>
              <w:left w:val="nil"/>
              <w:bottom w:val="nil"/>
              <w:right w:val="nil"/>
            </w:tcBorders>
          </w:tcPr>
          <w:p w14:paraId="0575AA3E"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2,243 (97.3)</w:t>
            </w:r>
          </w:p>
        </w:tc>
        <w:tc>
          <w:tcPr>
            <w:tcW w:w="908" w:type="pct"/>
            <w:tcBorders>
              <w:top w:val="nil"/>
              <w:left w:val="nil"/>
              <w:bottom w:val="nil"/>
              <w:right w:val="nil"/>
            </w:tcBorders>
          </w:tcPr>
          <w:p w14:paraId="0E10C699"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652 (28.3)</w:t>
            </w:r>
          </w:p>
        </w:tc>
        <w:tc>
          <w:tcPr>
            <w:tcW w:w="965" w:type="pct"/>
            <w:tcBorders>
              <w:top w:val="nil"/>
              <w:left w:val="nil"/>
              <w:bottom w:val="nil"/>
              <w:right w:val="nil"/>
            </w:tcBorders>
          </w:tcPr>
          <w:p w14:paraId="349F864B"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670 (29.1)</w:t>
            </w:r>
          </w:p>
        </w:tc>
        <w:tc>
          <w:tcPr>
            <w:tcW w:w="841" w:type="pct"/>
            <w:tcBorders>
              <w:top w:val="nil"/>
              <w:left w:val="nil"/>
              <w:bottom w:val="nil"/>
              <w:right w:val="nil"/>
            </w:tcBorders>
          </w:tcPr>
          <w:p w14:paraId="66EFB340"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921 (40.0)</w:t>
            </w:r>
          </w:p>
        </w:tc>
      </w:tr>
      <w:tr w:rsidR="00DB7A7A" w:rsidRPr="004832BA" w14:paraId="1496F12A" w14:textId="77777777" w:rsidTr="00155244">
        <w:tc>
          <w:tcPr>
            <w:tcW w:w="1147" w:type="pct"/>
            <w:tcBorders>
              <w:top w:val="nil"/>
              <w:left w:val="nil"/>
              <w:bottom w:val="nil"/>
              <w:right w:val="nil"/>
            </w:tcBorders>
          </w:tcPr>
          <w:p w14:paraId="1304B4C6"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Others</w:t>
            </w:r>
          </w:p>
        </w:tc>
        <w:tc>
          <w:tcPr>
            <w:tcW w:w="1140" w:type="pct"/>
            <w:tcBorders>
              <w:top w:val="nil"/>
              <w:left w:val="nil"/>
              <w:bottom w:val="nil"/>
              <w:right w:val="nil"/>
            </w:tcBorders>
          </w:tcPr>
          <w:p w14:paraId="3697D5D7" w14:textId="77777777" w:rsidR="00DB7A7A" w:rsidRPr="004B6F79" w:rsidRDefault="00DB7A7A" w:rsidP="00326A96">
            <w:pPr>
              <w:spacing w:line="259" w:lineRule="auto"/>
              <w:ind w:left="889"/>
              <w:rPr>
                <w:rFonts w:eastAsia="Cambria" w:cstheme="minorHAnsi"/>
                <w:color w:val="000000"/>
                <w:sz w:val="18"/>
                <w:szCs w:val="18"/>
              </w:rPr>
            </w:pPr>
            <w:r w:rsidRPr="004B6F79">
              <w:rPr>
                <w:rFonts w:eastAsia="Cambria" w:cstheme="minorHAnsi"/>
                <w:color w:val="000000"/>
                <w:sz w:val="18"/>
                <w:szCs w:val="18"/>
              </w:rPr>
              <w:t>62 (2.69)</w:t>
            </w:r>
          </w:p>
        </w:tc>
        <w:tc>
          <w:tcPr>
            <w:tcW w:w="908" w:type="pct"/>
            <w:tcBorders>
              <w:top w:val="nil"/>
              <w:left w:val="nil"/>
              <w:bottom w:val="nil"/>
              <w:right w:val="nil"/>
            </w:tcBorders>
          </w:tcPr>
          <w:p w14:paraId="79F35EA3"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40 (1.74)</w:t>
            </w:r>
          </w:p>
        </w:tc>
        <w:tc>
          <w:tcPr>
            <w:tcW w:w="965" w:type="pct"/>
            <w:tcBorders>
              <w:top w:val="nil"/>
              <w:left w:val="nil"/>
              <w:bottom w:val="nil"/>
              <w:right w:val="nil"/>
            </w:tcBorders>
          </w:tcPr>
          <w:p w14:paraId="088282A3"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21 (0.91)</w:t>
            </w:r>
          </w:p>
        </w:tc>
        <w:tc>
          <w:tcPr>
            <w:tcW w:w="841" w:type="pct"/>
            <w:tcBorders>
              <w:top w:val="nil"/>
              <w:left w:val="nil"/>
              <w:bottom w:val="nil"/>
              <w:right w:val="nil"/>
            </w:tcBorders>
          </w:tcPr>
          <w:p w14:paraId="11DA5E97" w14:textId="77777777" w:rsidR="00DB7A7A" w:rsidRPr="004B6F79" w:rsidRDefault="00DB7A7A" w:rsidP="00326A96">
            <w:pPr>
              <w:spacing w:line="259" w:lineRule="auto"/>
              <w:ind w:left="765"/>
              <w:rPr>
                <w:rFonts w:eastAsia="Cambria" w:cstheme="minorHAnsi"/>
                <w:color w:val="000000"/>
                <w:sz w:val="18"/>
                <w:szCs w:val="18"/>
              </w:rPr>
            </w:pPr>
            <w:r w:rsidRPr="004B6F79">
              <w:rPr>
                <w:rFonts w:eastAsia="Cambria" w:cstheme="minorHAnsi"/>
                <w:color w:val="000000"/>
                <w:sz w:val="18"/>
                <w:szCs w:val="18"/>
              </w:rPr>
              <w:t>1 (0.04)</w:t>
            </w:r>
          </w:p>
        </w:tc>
      </w:tr>
      <w:tr w:rsidR="00DB7A7A" w:rsidRPr="004832BA" w14:paraId="1AD89F05" w14:textId="77777777" w:rsidTr="00155244">
        <w:tc>
          <w:tcPr>
            <w:tcW w:w="1147" w:type="pct"/>
            <w:tcBorders>
              <w:top w:val="nil"/>
              <w:left w:val="nil"/>
              <w:bottom w:val="nil"/>
              <w:right w:val="nil"/>
            </w:tcBorders>
          </w:tcPr>
          <w:p w14:paraId="7DAE9399"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drug resistant</w:t>
            </w:r>
          </w:p>
        </w:tc>
        <w:tc>
          <w:tcPr>
            <w:tcW w:w="1140" w:type="pct"/>
            <w:tcBorders>
              <w:top w:val="nil"/>
              <w:left w:val="nil"/>
              <w:bottom w:val="nil"/>
              <w:right w:val="nil"/>
            </w:tcBorders>
          </w:tcPr>
          <w:p w14:paraId="2D615AE4"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0AE8BA44"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1D3E8996"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033112E4"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4F3F1A18" w14:textId="77777777" w:rsidTr="00155244">
        <w:tc>
          <w:tcPr>
            <w:tcW w:w="1147" w:type="pct"/>
            <w:tcBorders>
              <w:top w:val="nil"/>
              <w:left w:val="nil"/>
              <w:bottom w:val="nil"/>
              <w:right w:val="nil"/>
            </w:tcBorders>
          </w:tcPr>
          <w:p w14:paraId="035947D2"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MDR</w:t>
            </w:r>
          </w:p>
        </w:tc>
        <w:tc>
          <w:tcPr>
            <w:tcW w:w="1140" w:type="pct"/>
            <w:tcBorders>
              <w:top w:val="nil"/>
              <w:left w:val="nil"/>
              <w:bottom w:val="nil"/>
              <w:right w:val="nil"/>
            </w:tcBorders>
          </w:tcPr>
          <w:p w14:paraId="1324F2AF"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2,268 (98.4)</w:t>
            </w:r>
          </w:p>
        </w:tc>
        <w:tc>
          <w:tcPr>
            <w:tcW w:w="908" w:type="pct"/>
            <w:tcBorders>
              <w:top w:val="nil"/>
              <w:left w:val="nil"/>
              <w:bottom w:val="nil"/>
              <w:right w:val="nil"/>
            </w:tcBorders>
          </w:tcPr>
          <w:p w14:paraId="0B7EE5ED"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680 (29.5)</w:t>
            </w:r>
          </w:p>
        </w:tc>
        <w:tc>
          <w:tcPr>
            <w:tcW w:w="965" w:type="pct"/>
            <w:tcBorders>
              <w:top w:val="nil"/>
              <w:left w:val="nil"/>
              <w:bottom w:val="nil"/>
              <w:right w:val="nil"/>
            </w:tcBorders>
          </w:tcPr>
          <w:p w14:paraId="1E4775BA"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689 (29.9)</w:t>
            </w:r>
          </w:p>
        </w:tc>
        <w:tc>
          <w:tcPr>
            <w:tcW w:w="841" w:type="pct"/>
            <w:tcBorders>
              <w:top w:val="nil"/>
              <w:left w:val="nil"/>
              <w:bottom w:val="nil"/>
              <w:right w:val="nil"/>
            </w:tcBorders>
          </w:tcPr>
          <w:p w14:paraId="367C1A61"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899 (39.0)</w:t>
            </w:r>
          </w:p>
        </w:tc>
      </w:tr>
      <w:tr w:rsidR="00DB7A7A" w:rsidRPr="004832BA" w14:paraId="01B6F30B" w14:textId="77777777" w:rsidTr="00155244">
        <w:tc>
          <w:tcPr>
            <w:tcW w:w="1147" w:type="pct"/>
            <w:tcBorders>
              <w:top w:val="nil"/>
              <w:left w:val="nil"/>
              <w:bottom w:val="nil"/>
              <w:right w:val="nil"/>
            </w:tcBorders>
          </w:tcPr>
          <w:p w14:paraId="42D8E8E7"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XDR</w:t>
            </w:r>
          </w:p>
        </w:tc>
        <w:tc>
          <w:tcPr>
            <w:tcW w:w="1140" w:type="pct"/>
            <w:tcBorders>
              <w:top w:val="nil"/>
              <w:left w:val="nil"/>
              <w:bottom w:val="nil"/>
              <w:right w:val="nil"/>
            </w:tcBorders>
          </w:tcPr>
          <w:p w14:paraId="166BCC1F" w14:textId="77777777" w:rsidR="00DB7A7A" w:rsidRPr="004B6F79" w:rsidRDefault="00DB7A7A" w:rsidP="00326A96">
            <w:pPr>
              <w:spacing w:line="259" w:lineRule="auto"/>
              <w:ind w:left="889"/>
              <w:rPr>
                <w:rFonts w:eastAsia="Cambria" w:cstheme="minorHAnsi"/>
                <w:color w:val="000000"/>
                <w:sz w:val="18"/>
                <w:szCs w:val="18"/>
              </w:rPr>
            </w:pPr>
            <w:r w:rsidRPr="004B6F79">
              <w:rPr>
                <w:rFonts w:eastAsia="Cambria" w:cstheme="minorHAnsi"/>
                <w:color w:val="000000"/>
                <w:sz w:val="18"/>
                <w:szCs w:val="18"/>
              </w:rPr>
              <w:t>37 (1.61)</w:t>
            </w:r>
          </w:p>
        </w:tc>
        <w:tc>
          <w:tcPr>
            <w:tcW w:w="908" w:type="pct"/>
            <w:tcBorders>
              <w:top w:val="nil"/>
              <w:left w:val="nil"/>
              <w:bottom w:val="nil"/>
              <w:right w:val="nil"/>
            </w:tcBorders>
          </w:tcPr>
          <w:p w14:paraId="408291CF"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19 (0.82)</w:t>
            </w:r>
          </w:p>
        </w:tc>
        <w:tc>
          <w:tcPr>
            <w:tcW w:w="965" w:type="pct"/>
            <w:tcBorders>
              <w:top w:val="nil"/>
              <w:left w:val="nil"/>
              <w:bottom w:val="nil"/>
              <w:right w:val="nil"/>
            </w:tcBorders>
          </w:tcPr>
          <w:p w14:paraId="6C209627"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11 (0.47)</w:t>
            </w:r>
          </w:p>
        </w:tc>
        <w:tc>
          <w:tcPr>
            <w:tcW w:w="841" w:type="pct"/>
            <w:tcBorders>
              <w:top w:val="nil"/>
              <w:left w:val="nil"/>
              <w:bottom w:val="nil"/>
              <w:right w:val="nil"/>
            </w:tcBorders>
          </w:tcPr>
          <w:p w14:paraId="392D3BD9" w14:textId="77777777" w:rsidR="00DB7A7A" w:rsidRPr="004B6F79" w:rsidRDefault="00DB7A7A" w:rsidP="00326A96">
            <w:pPr>
              <w:spacing w:line="259" w:lineRule="auto"/>
              <w:ind w:left="765"/>
              <w:rPr>
                <w:rFonts w:eastAsia="Cambria" w:cstheme="minorHAnsi"/>
                <w:color w:val="000000"/>
                <w:sz w:val="18"/>
                <w:szCs w:val="18"/>
              </w:rPr>
            </w:pPr>
            <w:r w:rsidRPr="004B6F79">
              <w:rPr>
                <w:rFonts w:eastAsia="Cambria" w:cstheme="minorHAnsi"/>
                <w:color w:val="000000"/>
                <w:sz w:val="18"/>
                <w:szCs w:val="18"/>
              </w:rPr>
              <w:t>7 (0.30)</w:t>
            </w:r>
          </w:p>
        </w:tc>
      </w:tr>
      <w:tr w:rsidR="00DB7A7A" w:rsidRPr="004832BA" w14:paraId="1E2D54D9" w14:textId="77777777" w:rsidTr="00155244">
        <w:tc>
          <w:tcPr>
            <w:tcW w:w="1147" w:type="pct"/>
            <w:tcBorders>
              <w:top w:val="nil"/>
              <w:left w:val="nil"/>
              <w:bottom w:val="nil"/>
              <w:right w:val="nil"/>
            </w:tcBorders>
          </w:tcPr>
          <w:p w14:paraId="6296A591"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treatments</w:t>
            </w:r>
          </w:p>
        </w:tc>
        <w:tc>
          <w:tcPr>
            <w:tcW w:w="1140" w:type="pct"/>
            <w:tcBorders>
              <w:top w:val="nil"/>
              <w:left w:val="nil"/>
              <w:bottom w:val="nil"/>
              <w:right w:val="nil"/>
            </w:tcBorders>
          </w:tcPr>
          <w:p w14:paraId="485A8AD6"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548D1872"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43EFAC0C"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5CA83202"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481FD80A" w14:textId="77777777" w:rsidTr="00155244">
        <w:tc>
          <w:tcPr>
            <w:tcW w:w="1147" w:type="pct"/>
            <w:tcBorders>
              <w:top w:val="nil"/>
              <w:left w:val="nil"/>
              <w:bottom w:val="nil"/>
              <w:right w:val="nil"/>
            </w:tcBorders>
          </w:tcPr>
          <w:p w14:paraId="4C1CD961"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Treated</w:t>
            </w:r>
          </w:p>
        </w:tc>
        <w:tc>
          <w:tcPr>
            <w:tcW w:w="1140" w:type="pct"/>
            <w:tcBorders>
              <w:top w:val="nil"/>
              <w:left w:val="nil"/>
              <w:bottom w:val="nil"/>
              <w:right w:val="nil"/>
            </w:tcBorders>
          </w:tcPr>
          <w:p w14:paraId="09CC4232"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1,716 (74.4)</w:t>
            </w:r>
          </w:p>
        </w:tc>
        <w:tc>
          <w:tcPr>
            <w:tcW w:w="908" w:type="pct"/>
            <w:tcBorders>
              <w:top w:val="nil"/>
              <w:left w:val="nil"/>
              <w:bottom w:val="nil"/>
              <w:right w:val="nil"/>
            </w:tcBorders>
          </w:tcPr>
          <w:p w14:paraId="7C14377A"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510 (22.1)</w:t>
            </w:r>
          </w:p>
        </w:tc>
        <w:tc>
          <w:tcPr>
            <w:tcW w:w="965" w:type="pct"/>
            <w:tcBorders>
              <w:top w:val="nil"/>
              <w:left w:val="nil"/>
              <w:bottom w:val="nil"/>
              <w:right w:val="nil"/>
            </w:tcBorders>
          </w:tcPr>
          <w:p w14:paraId="2EA12FD1"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536 (23.3)</w:t>
            </w:r>
          </w:p>
        </w:tc>
        <w:tc>
          <w:tcPr>
            <w:tcW w:w="841" w:type="pct"/>
            <w:tcBorders>
              <w:top w:val="nil"/>
              <w:left w:val="nil"/>
              <w:bottom w:val="nil"/>
              <w:right w:val="nil"/>
            </w:tcBorders>
          </w:tcPr>
          <w:p w14:paraId="78B43F5C"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670 (29.1)</w:t>
            </w:r>
          </w:p>
        </w:tc>
      </w:tr>
      <w:tr w:rsidR="00DB7A7A" w:rsidRPr="004832BA" w14:paraId="41CF1807" w14:textId="77777777" w:rsidTr="00155244">
        <w:tc>
          <w:tcPr>
            <w:tcW w:w="1147" w:type="pct"/>
            <w:tcBorders>
              <w:top w:val="nil"/>
              <w:left w:val="nil"/>
              <w:bottom w:val="nil"/>
              <w:right w:val="nil"/>
            </w:tcBorders>
          </w:tcPr>
          <w:p w14:paraId="08AFD6CC"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Untreated</w:t>
            </w:r>
          </w:p>
        </w:tc>
        <w:tc>
          <w:tcPr>
            <w:tcW w:w="1140" w:type="pct"/>
            <w:tcBorders>
              <w:top w:val="nil"/>
              <w:left w:val="nil"/>
              <w:bottom w:val="nil"/>
              <w:right w:val="nil"/>
            </w:tcBorders>
          </w:tcPr>
          <w:p w14:paraId="5CCFF772"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589 (25.6)</w:t>
            </w:r>
          </w:p>
        </w:tc>
        <w:tc>
          <w:tcPr>
            <w:tcW w:w="908" w:type="pct"/>
            <w:tcBorders>
              <w:top w:val="nil"/>
              <w:left w:val="nil"/>
              <w:bottom w:val="nil"/>
              <w:right w:val="nil"/>
            </w:tcBorders>
          </w:tcPr>
          <w:p w14:paraId="3154B81E"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182 (7.90)</w:t>
            </w:r>
          </w:p>
        </w:tc>
        <w:tc>
          <w:tcPr>
            <w:tcW w:w="965" w:type="pct"/>
            <w:tcBorders>
              <w:top w:val="nil"/>
              <w:left w:val="nil"/>
              <w:bottom w:val="nil"/>
              <w:right w:val="nil"/>
            </w:tcBorders>
          </w:tcPr>
          <w:p w14:paraId="1A28195D"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155 (6.72)</w:t>
            </w:r>
          </w:p>
        </w:tc>
        <w:tc>
          <w:tcPr>
            <w:tcW w:w="841" w:type="pct"/>
            <w:tcBorders>
              <w:top w:val="nil"/>
              <w:left w:val="nil"/>
              <w:bottom w:val="nil"/>
              <w:right w:val="nil"/>
            </w:tcBorders>
          </w:tcPr>
          <w:p w14:paraId="0F61BCAF"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252 (10.9)</w:t>
            </w:r>
          </w:p>
        </w:tc>
      </w:tr>
      <w:tr w:rsidR="00DB7A7A" w:rsidRPr="004832BA" w14:paraId="055285B9" w14:textId="77777777" w:rsidTr="00155244">
        <w:tc>
          <w:tcPr>
            <w:tcW w:w="1147" w:type="pct"/>
            <w:tcBorders>
              <w:top w:val="nil"/>
              <w:left w:val="nil"/>
              <w:bottom w:val="nil"/>
              <w:right w:val="nil"/>
            </w:tcBorders>
          </w:tcPr>
          <w:p w14:paraId="40D9A8DF"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MDR-TB acquirement</w:t>
            </w:r>
          </w:p>
        </w:tc>
        <w:tc>
          <w:tcPr>
            <w:tcW w:w="1140" w:type="pct"/>
            <w:tcBorders>
              <w:top w:val="nil"/>
              <w:left w:val="nil"/>
              <w:bottom w:val="nil"/>
              <w:right w:val="nil"/>
            </w:tcBorders>
          </w:tcPr>
          <w:p w14:paraId="7930552A"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4E402A83"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0EABBFFB"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6DF0B23C"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0114E617" w14:textId="77777777" w:rsidTr="00155244">
        <w:tc>
          <w:tcPr>
            <w:tcW w:w="1147" w:type="pct"/>
            <w:tcBorders>
              <w:top w:val="nil"/>
              <w:left w:val="nil"/>
              <w:bottom w:val="nil"/>
              <w:right w:val="nil"/>
            </w:tcBorders>
          </w:tcPr>
          <w:p w14:paraId="49E0B1EB"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Primary resistance</w:t>
            </w:r>
          </w:p>
        </w:tc>
        <w:tc>
          <w:tcPr>
            <w:tcW w:w="1140" w:type="pct"/>
            <w:tcBorders>
              <w:top w:val="nil"/>
              <w:left w:val="nil"/>
              <w:bottom w:val="nil"/>
              <w:right w:val="nil"/>
            </w:tcBorders>
          </w:tcPr>
          <w:p w14:paraId="4C16688D"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1,535 (66.6)</w:t>
            </w:r>
          </w:p>
        </w:tc>
        <w:tc>
          <w:tcPr>
            <w:tcW w:w="908" w:type="pct"/>
            <w:tcBorders>
              <w:top w:val="nil"/>
              <w:left w:val="nil"/>
              <w:bottom w:val="nil"/>
              <w:right w:val="nil"/>
            </w:tcBorders>
          </w:tcPr>
          <w:p w14:paraId="12B5BD72"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424 (18.4)</w:t>
            </w:r>
          </w:p>
        </w:tc>
        <w:tc>
          <w:tcPr>
            <w:tcW w:w="965" w:type="pct"/>
            <w:tcBorders>
              <w:top w:val="nil"/>
              <w:left w:val="nil"/>
              <w:bottom w:val="nil"/>
              <w:right w:val="nil"/>
            </w:tcBorders>
          </w:tcPr>
          <w:p w14:paraId="6131782F"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458 (19.9)</w:t>
            </w:r>
          </w:p>
        </w:tc>
        <w:tc>
          <w:tcPr>
            <w:tcW w:w="841" w:type="pct"/>
            <w:tcBorders>
              <w:top w:val="nil"/>
              <w:left w:val="nil"/>
              <w:bottom w:val="nil"/>
              <w:right w:val="nil"/>
            </w:tcBorders>
          </w:tcPr>
          <w:p w14:paraId="41DC7EA3"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653 (28.3)</w:t>
            </w:r>
          </w:p>
        </w:tc>
      </w:tr>
      <w:tr w:rsidR="00DB7A7A" w:rsidRPr="004832BA" w14:paraId="5C56ED1C" w14:textId="77777777" w:rsidTr="00155244">
        <w:tc>
          <w:tcPr>
            <w:tcW w:w="1147" w:type="pct"/>
            <w:tcBorders>
              <w:top w:val="nil"/>
              <w:left w:val="nil"/>
              <w:bottom w:val="nil"/>
              <w:right w:val="nil"/>
            </w:tcBorders>
          </w:tcPr>
          <w:p w14:paraId="19CBB0D6"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Acquired resistance</w:t>
            </w:r>
          </w:p>
        </w:tc>
        <w:tc>
          <w:tcPr>
            <w:tcW w:w="1140" w:type="pct"/>
            <w:tcBorders>
              <w:top w:val="nil"/>
              <w:left w:val="nil"/>
              <w:bottom w:val="nil"/>
              <w:right w:val="nil"/>
            </w:tcBorders>
          </w:tcPr>
          <w:p w14:paraId="364BC93A"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770 (33.4)</w:t>
            </w:r>
          </w:p>
        </w:tc>
        <w:tc>
          <w:tcPr>
            <w:tcW w:w="908" w:type="pct"/>
            <w:tcBorders>
              <w:top w:val="nil"/>
              <w:left w:val="nil"/>
              <w:bottom w:val="nil"/>
              <w:right w:val="nil"/>
            </w:tcBorders>
          </w:tcPr>
          <w:p w14:paraId="14737FFD"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268 (11.6)</w:t>
            </w:r>
          </w:p>
        </w:tc>
        <w:tc>
          <w:tcPr>
            <w:tcW w:w="965" w:type="pct"/>
            <w:tcBorders>
              <w:top w:val="nil"/>
              <w:left w:val="nil"/>
              <w:bottom w:val="nil"/>
              <w:right w:val="nil"/>
            </w:tcBorders>
          </w:tcPr>
          <w:p w14:paraId="2E01DAD6"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233 (10.1)</w:t>
            </w:r>
          </w:p>
        </w:tc>
        <w:tc>
          <w:tcPr>
            <w:tcW w:w="841" w:type="pct"/>
            <w:tcBorders>
              <w:top w:val="nil"/>
              <w:left w:val="nil"/>
              <w:bottom w:val="nil"/>
              <w:right w:val="nil"/>
            </w:tcBorders>
          </w:tcPr>
          <w:p w14:paraId="183519FD"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269 (11.7)</w:t>
            </w:r>
          </w:p>
        </w:tc>
      </w:tr>
      <w:tr w:rsidR="00DB7A7A" w:rsidRPr="004832BA" w14:paraId="79278803" w14:textId="77777777" w:rsidTr="00155244">
        <w:tc>
          <w:tcPr>
            <w:tcW w:w="1147" w:type="pct"/>
            <w:tcBorders>
              <w:top w:val="nil"/>
              <w:left w:val="nil"/>
              <w:bottom w:val="nil"/>
              <w:right w:val="nil"/>
            </w:tcBorders>
          </w:tcPr>
          <w:p w14:paraId="0DD32DC8"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occupation</w:t>
            </w:r>
          </w:p>
        </w:tc>
        <w:tc>
          <w:tcPr>
            <w:tcW w:w="1140" w:type="pct"/>
            <w:tcBorders>
              <w:top w:val="nil"/>
              <w:left w:val="nil"/>
              <w:bottom w:val="nil"/>
              <w:right w:val="nil"/>
            </w:tcBorders>
          </w:tcPr>
          <w:p w14:paraId="799006A1"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255B3870"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3790F488"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4F01E90F"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150B9213" w14:textId="77777777" w:rsidTr="00155244">
        <w:tc>
          <w:tcPr>
            <w:tcW w:w="1147" w:type="pct"/>
            <w:tcBorders>
              <w:top w:val="nil"/>
              <w:left w:val="nil"/>
              <w:bottom w:val="nil"/>
              <w:right w:val="nil"/>
            </w:tcBorders>
          </w:tcPr>
          <w:p w14:paraId="7C99DA64" w14:textId="77777777" w:rsidR="00DB7A7A" w:rsidRPr="004B6F79" w:rsidRDefault="00DB7A7A" w:rsidP="00326A96">
            <w:pPr>
              <w:spacing w:line="259" w:lineRule="auto"/>
              <w:ind w:left="100"/>
              <w:rPr>
                <w:rFonts w:eastAsia="Cambria" w:cstheme="minorHAnsi"/>
                <w:color w:val="000000"/>
                <w:sz w:val="18"/>
                <w:szCs w:val="18"/>
              </w:rPr>
            </w:pPr>
            <w:proofErr w:type="spellStart"/>
            <w:r w:rsidRPr="004B6F79">
              <w:rPr>
                <w:rFonts w:eastAsia="Cambria" w:cstheme="minorHAnsi"/>
                <w:color w:val="000000"/>
                <w:sz w:val="18"/>
                <w:szCs w:val="18"/>
              </w:rPr>
              <w:t>Labour</w:t>
            </w:r>
            <w:proofErr w:type="spellEnd"/>
            <w:r w:rsidRPr="004B6F79">
              <w:rPr>
                <w:rFonts w:eastAsia="Cambria" w:cstheme="minorHAnsi"/>
                <w:color w:val="000000"/>
                <w:sz w:val="18"/>
                <w:szCs w:val="18"/>
              </w:rPr>
              <w:t>-intensive</w:t>
            </w:r>
          </w:p>
        </w:tc>
        <w:tc>
          <w:tcPr>
            <w:tcW w:w="1140" w:type="pct"/>
            <w:tcBorders>
              <w:top w:val="nil"/>
              <w:left w:val="nil"/>
              <w:bottom w:val="nil"/>
              <w:right w:val="nil"/>
            </w:tcBorders>
          </w:tcPr>
          <w:p w14:paraId="355C1F8C"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1,729 (75.0)</w:t>
            </w:r>
          </w:p>
        </w:tc>
        <w:tc>
          <w:tcPr>
            <w:tcW w:w="908" w:type="pct"/>
            <w:tcBorders>
              <w:top w:val="nil"/>
              <w:left w:val="nil"/>
              <w:bottom w:val="nil"/>
              <w:right w:val="nil"/>
            </w:tcBorders>
          </w:tcPr>
          <w:p w14:paraId="2A330305"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517 (22.4)</w:t>
            </w:r>
          </w:p>
        </w:tc>
        <w:tc>
          <w:tcPr>
            <w:tcW w:w="965" w:type="pct"/>
            <w:tcBorders>
              <w:top w:val="nil"/>
              <w:left w:val="nil"/>
              <w:bottom w:val="nil"/>
              <w:right w:val="nil"/>
            </w:tcBorders>
          </w:tcPr>
          <w:p w14:paraId="0207A366"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524 (22.7)</w:t>
            </w:r>
          </w:p>
        </w:tc>
        <w:tc>
          <w:tcPr>
            <w:tcW w:w="841" w:type="pct"/>
            <w:tcBorders>
              <w:top w:val="nil"/>
              <w:left w:val="nil"/>
              <w:bottom w:val="nil"/>
              <w:right w:val="nil"/>
            </w:tcBorders>
          </w:tcPr>
          <w:p w14:paraId="7A142597"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688 (29.8)</w:t>
            </w:r>
          </w:p>
        </w:tc>
      </w:tr>
      <w:tr w:rsidR="00DB7A7A" w:rsidRPr="004832BA" w14:paraId="36EC28DD" w14:textId="77777777" w:rsidTr="00155244">
        <w:tc>
          <w:tcPr>
            <w:tcW w:w="1147" w:type="pct"/>
            <w:tcBorders>
              <w:top w:val="nil"/>
              <w:left w:val="nil"/>
              <w:bottom w:val="nil"/>
              <w:right w:val="nil"/>
            </w:tcBorders>
          </w:tcPr>
          <w:p w14:paraId="77EF8FC8"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Intelligent-intensive</w:t>
            </w:r>
          </w:p>
        </w:tc>
        <w:tc>
          <w:tcPr>
            <w:tcW w:w="1140" w:type="pct"/>
            <w:tcBorders>
              <w:top w:val="nil"/>
              <w:left w:val="nil"/>
              <w:bottom w:val="nil"/>
              <w:right w:val="nil"/>
            </w:tcBorders>
          </w:tcPr>
          <w:p w14:paraId="3C6BE44B"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276 (12.0)</w:t>
            </w:r>
          </w:p>
        </w:tc>
        <w:tc>
          <w:tcPr>
            <w:tcW w:w="908" w:type="pct"/>
            <w:tcBorders>
              <w:top w:val="nil"/>
              <w:left w:val="nil"/>
              <w:bottom w:val="nil"/>
              <w:right w:val="nil"/>
            </w:tcBorders>
          </w:tcPr>
          <w:p w14:paraId="1221D5CF"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72 (3.12)</w:t>
            </w:r>
          </w:p>
        </w:tc>
        <w:tc>
          <w:tcPr>
            <w:tcW w:w="965" w:type="pct"/>
            <w:tcBorders>
              <w:top w:val="nil"/>
              <w:left w:val="nil"/>
              <w:bottom w:val="nil"/>
              <w:right w:val="nil"/>
            </w:tcBorders>
          </w:tcPr>
          <w:p w14:paraId="37142165"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87 (3.77)</w:t>
            </w:r>
          </w:p>
        </w:tc>
        <w:tc>
          <w:tcPr>
            <w:tcW w:w="841" w:type="pct"/>
            <w:tcBorders>
              <w:top w:val="nil"/>
              <w:left w:val="nil"/>
              <w:bottom w:val="nil"/>
              <w:right w:val="nil"/>
            </w:tcBorders>
          </w:tcPr>
          <w:p w14:paraId="1A51E634"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117 (5.08)</w:t>
            </w:r>
          </w:p>
        </w:tc>
      </w:tr>
      <w:tr w:rsidR="00DB7A7A" w:rsidRPr="004832BA" w14:paraId="37A1D96D" w14:textId="77777777" w:rsidTr="00155244">
        <w:tc>
          <w:tcPr>
            <w:tcW w:w="1147" w:type="pct"/>
            <w:tcBorders>
              <w:top w:val="nil"/>
              <w:left w:val="nil"/>
              <w:bottom w:val="nil"/>
              <w:right w:val="nil"/>
            </w:tcBorders>
          </w:tcPr>
          <w:p w14:paraId="1CE886F2"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working environment</w:t>
            </w:r>
          </w:p>
        </w:tc>
        <w:tc>
          <w:tcPr>
            <w:tcW w:w="1140" w:type="pct"/>
            <w:tcBorders>
              <w:top w:val="nil"/>
              <w:left w:val="nil"/>
              <w:bottom w:val="nil"/>
              <w:right w:val="nil"/>
            </w:tcBorders>
          </w:tcPr>
          <w:p w14:paraId="1F8DB188"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19E06A0D"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51513EAD"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34DE5767"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03897E9A" w14:textId="77777777" w:rsidTr="00155244">
        <w:tc>
          <w:tcPr>
            <w:tcW w:w="1147" w:type="pct"/>
            <w:tcBorders>
              <w:top w:val="nil"/>
              <w:left w:val="nil"/>
              <w:bottom w:val="nil"/>
              <w:right w:val="nil"/>
            </w:tcBorders>
          </w:tcPr>
          <w:p w14:paraId="571F0808"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Indoor</w:t>
            </w:r>
          </w:p>
        </w:tc>
        <w:tc>
          <w:tcPr>
            <w:tcW w:w="1140" w:type="pct"/>
            <w:tcBorders>
              <w:top w:val="nil"/>
              <w:left w:val="nil"/>
              <w:bottom w:val="nil"/>
              <w:right w:val="nil"/>
            </w:tcBorders>
          </w:tcPr>
          <w:p w14:paraId="5C840826"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457 (19.8)</w:t>
            </w:r>
          </w:p>
        </w:tc>
        <w:tc>
          <w:tcPr>
            <w:tcW w:w="908" w:type="pct"/>
            <w:tcBorders>
              <w:top w:val="nil"/>
              <w:left w:val="nil"/>
              <w:bottom w:val="nil"/>
              <w:right w:val="nil"/>
            </w:tcBorders>
          </w:tcPr>
          <w:p w14:paraId="50399390"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125 (5.42)</w:t>
            </w:r>
          </w:p>
        </w:tc>
        <w:tc>
          <w:tcPr>
            <w:tcW w:w="965" w:type="pct"/>
            <w:tcBorders>
              <w:top w:val="nil"/>
              <w:left w:val="nil"/>
              <w:bottom w:val="nil"/>
              <w:right w:val="nil"/>
            </w:tcBorders>
          </w:tcPr>
          <w:p w14:paraId="4BDEDB85"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144 (6.24)</w:t>
            </w:r>
          </w:p>
        </w:tc>
        <w:tc>
          <w:tcPr>
            <w:tcW w:w="841" w:type="pct"/>
            <w:tcBorders>
              <w:top w:val="nil"/>
              <w:left w:val="nil"/>
              <w:bottom w:val="nil"/>
              <w:right w:val="nil"/>
            </w:tcBorders>
          </w:tcPr>
          <w:p w14:paraId="3F985FD9"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118 (5.12)</w:t>
            </w:r>
          </w:p>
        </w:tc>
      </w:tr>
      <w:tr w:rsidR="00DB7A7A" w:rsidRPr="004832BA" w14:paraId="73914A5A" w14:textId="77777777" w:rsidTr="00155244">
        <w:tc>
          <w:tcPr>
            <w:tcW w:w="1147" w:type="pct"/>
            <w:tcBorders>
              <w:top w:val="nil"/>
              <w:left w:val="nil"/>
              <w:bottom w:val="nil"/>
              <w:right w:val="nil"/>
            </w:tcBorders>
          </w:tcPr>
          <w:p w14:paraId="4CCA86E7"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Outdoor</w:t>
            </w:r>
          </w:p>
        </w:tc>
        <w:tc>
          <w:tcPr>
            <w:tcW w:w="1140" w:type="pct"/>
            <w:tcBorders>
              <w:top w:val="nil"/>
              <w:left w:val="nil"/>
              <w:bottom w:val="nil"/>
              <w:right w:val="nil"/>
            </w:tcBorders>
          </w:tcPr>
          <w:p w14:paraId="10A62529"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1,548 (67.2)</w:t>
            </w:r>
          </w:p>
        </w:tc>
        <w:tc>
          <w:tcPr>
            <w:tcW w:w="908" w:type="pct"/>
            <w:tcBorders>
              <w:top w:val="nil"/>
              <w:left w:val="nil"/>
              <w:bottom w:val="nil"/>
              <w:right w:val="nil"/>
            </w:tcBorders>
          </w:tcPr>
          <w:p w14:paraId="50EC562F"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464 (26.8)</w:t>
            </w:r>
          </w:p>
        </w:tc>
        <w:tc>
          <w:tcPr>
            <w:tcW w:w="965" w:type="pct"/>
            <w:tcBorders>
              <w:top w:val="nil"/>
              <w:left w:val="nil"/>
              <w:bottom w:val="nil"/>
              <w:right w:val="nil"/>
            </w:tcBorders>
          </w:tcPr>
          <w:p w14:paraId="15B31D12"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467 (20.3)</w:t>
            </w:r>
          </w:p>
        </w:tc>
        <w:tc>
          <w:tcPr>
            <w:tcW w:w="841" w:type="pct"/>
            <w:tcBorders>
              <w:top w:val="nil"/>
              <w:left w:val="nil"/>
              <w:bottom w:val="nil"/>
              <w:right w:val="nil"/>
            </w:tcBorders>
          </w:tcPr>
          <w:p w14:paraId="136F06C5"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617 (20.1)</w:t>
            </w:r>
          </w:p>
        </w:tc>
      </w:tr>
      <w:tr w:rsidR="00DB7A7A" w:rsidRPr="004832BA" w14:paraId="13384922" w14:textId="77777777" w:rsidTr="00155244">
        <w:tc>
          <w:tcPr>
            <w:tcW w:w="1147" w:type="pct"/>
            <w:tcBorders>
              <w:top w:val="nil"/>
              <w:left w:val="nil"/>
              <w:bottom w:val="nil"/>
              <w:right w:val="nil"/>
            </w:tcBorders>
          </w:tcPr>
          <w:p w14:paraId="27DE56F5"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region</w:t>
            </w:r>
          </w:p>
        </w:tc>
        <w:tc>
          <w:tcPr>
            <w:tcW w:w="1140" w:type="pct"/>
            <w:tcBorders>
              <w:top w:val="nil"/>
              <w:left w:val="nil"/>
              <w:bottom w:val="nil"/>
              <w:right w:val="nil"/>
            </w:tcBorders>
          </w:tcPr>
          <w:p w14:paraId="17BABD03"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71F1E4EB"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67E7FA7D"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498175A3"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72D8D171" w14:textId="77777777" w:rsidTr="00155244">
        <w:tc>
          <w:tcPr>
            <w:tcW w:w="1147" w:type="pct"/>
            <w:tcBorders>
              <w:top w:val="nil"/>
              <w:left w:val="nil"/>
              <w:bottom w:val="nil"/>
              <w:right w:val="nil"/>
            </w:tcBorders>
          </w:tcPr>
          <w:p w14:paraId="715A66C7"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Urban area</w:t>
            </w:r>
          </w:p>
        </w:tc>
        <w:tc>
          <w:tcPr>
            <w:tcW w:w="1140" w:type="pct"/>
            <w:tcBorders>
              <w:top w:val="nil"/>
              <w:left w:val="nil"/>
              <w:bottom w:val="nil"/>
              <w:right w:val="nil"/>
            </w:tcBorders>
          </w:tcPr>
          <w:p w14:paraId="3425E0CC"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595 (25.8)</w:t>
            </w:r>
          </w:p>
        </w:tc>
        <w:tc>
          <w:tcPr>
            <w:tcW w:w="908" w:type="pct"/>
            <w:tcBorders>
              <w:top w:val="nil"/>
              <w:left w:val="nil"/>
              <w:bottom w:val="nil"/>
              <w:right w:val="nil"/>
            </w:tcBorders>
          </w:tcPr>
          <w:p w14:paraId="2C2DB95E"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150 (6.51)</w:t>
            </w:r>
          </w:p>
        </w:tc>
        <w:tc>
          <w:tcPr>
            <w:tcW w:w="965" w:type="pct"/>
            <w:tcBorders>
              <w:top w:val="nil"/>
              <w:left w:val="nil"/>
              <w:bottom w:val="nil"/>
              <w:right w:val="nil"/>
            </w:tcBorders>
          </w:tcPr>
          <w:p w14:paraId="712D1B05"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166 (7.20)</w:t>
            </w:r>
          </w:p>
        </w:tc>
        <w:tc>
          <w:tcPr>
            <w:tcW w:w="841" w:type="pct"/>
            <w:tcBorders>
              <w:top w:val="nil"/>
              <w:left w:val="nil"/>
              <w:bottom w:val="nil"/>
              <w:right w:val="nil"/>
            </w:tcBorders>
          </w:tcPr>
          <w:p w14:paraId="6A7280C8"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279 (12.1)</w:t>
            </w:r>
          </w:p>
        </w:tc>
      </w:tr>
      <w:tr w:rsidR="00DB7A7A" w:rsidRPr="004832BA" w14:paraId="6B15B6BE" w14:textId="77777777" w:rsidTr="00155244">
        <w:tc>
          <w:tcPr>
            <w:tcW w:w="1147" w:type="pct"/>
            <w:tcBorders>
              <w:top w:val="nil"/>
              <w:left w:val="nil"/>
              <w:bottom w:val="nil"/>
              <w:right w:val="nil"/>
            </w:tcBorders>
          </w:tcPr>
          <w:p w14:paraId="02E7D211" w14:textId="7C85611C" w:rsidR="00DB7A7A" w:rsidRPr="004B6F79" w:rsidRDefault="00DB7A7A" w:rsidP="00326A96">
            <w:pPr>
              <w:spacing w:line="259" w:lineRule="auto"/>
              <w:ind w:left="100"/>
              <w:rPr>
                <w:rFonts w:eastAsia="Cambria" w:cstheme="minorHAnsi"/>
                <w:color w:val="000000"/>
                <w:sz w:val="18"/>
                <w:szCs w:val="18"/>
              </w:rPr>
            </w:pPr>
            <w:r>
              <w:rPr>
                <w:rFonts w:eastAsia="Cambria" w:cstheme="minorHAnsi"/>
                <w:color w:val="000000"/>
                <w:sz w:val="18"/>
                <w:szCs w:val="18"/>
              </w:rPr>
              <w:t>Ru</w:t>
            </w:r>
            <w:r w:rsidRPr="004B6F79">
              <w:rPr>
                <w:rFonts w:eastAsia="Cambria" w:cstheme="minorHAnsi"/>
                <w:color w:val="000000"/>
                <w:sz w:val="18"/>
                <w:szCs w:val="18"/>
              </w:rPr>
              <w:t>ral area</w:t>
            </w:r>
          </w:p>
        </w:tc>
        <w:tc>
          <w:tcPr>
            <w:tcW w:w="1140" w:type="pct"/>
            <w:tcBorders>
              <w:top w:val="nil"/>
              <w:left w:val="nil"/>
              <w:bottom w:val="nil"/>
              <w:right w:val="nil"/>
            </w:tcBorders>
          </w:tcPr>
          <w:p w14:paraId="12728CF4"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1,710 (74.2)</w:t>
            </w:r>
          </w:p>
        </w:tc>
        <w:tc>
          <w:tcPr>
            <w:tcW w:w="908" w:type="pct"/>
            <w:tcBorders>
              <w:top w:val="nil"/>
              <w:left w:val="nil"/>
              <w:bottom w:val="nil"/>
              <w:right w:val="nil"/>
            </w:tcBorders>
          </w:tcPr>
          <w:p w14:paraId="4F9617A7"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542 (23.5)</w:t>
            </w:r>
          </w:p>
        </w:tc>
        <w:tc>
          <w:tcPr>
            <w:tcW w:w="965" w:type="pct"/>
            <w:tcBorders>
              <w:top w:val="nil"/>
              <w:left w:val="nil"/>
              <w:bottom w:val="nil"/>
              <w:right w:val="nil"/>
            </w:tcBorders>
          </w:tcPr>
          <w:p w14:paraId="4C163630"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525 (22.8)</w:t>
            </w:r>
          </w:p>
        </w:tc>
        <w:tc>
          <w:tcPr>
            <w:tcW w:w="841" w:type="pct"/>
            <w:tcBorders>
              <w:top w:val="nil"/>
              <w:left w:val="nil"/>
              <w:bottom w:val="nil"/>
              <w:right w:val="nil"/>
            </w:tcBorders>
          </w:tcPr>
          <w:p w14:paraId="0B29A516"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643 (27.9)</w:t>
            </w:r>
          </w:p>
        </w:tc>
      </w:tr>
      <w:tr w:rsidR="00DB7A7A" w:rsidRPr="004832BA" w14:paraId="2F677801" w14:textId="77777777" w:rsidTr="00155244">
        <w:tc>
          <w:tcPr>
            <w:tcW w:w="1147" w:type="pct"/>
            <w:tcBorders>
              <w:top w:val="nil"/>
              <w:left w:val="nil"/>
              <w:bottom w:val="nil"/>
              <w:right w:val="nil"/>
            </w:tcBorders>
          </w:tcPr>
          <w:p w14:paraId="3B1076A2" w14:textId="015336CF" w:rsidR="00DB7A7A" w:rsidRPr="00BB0D77" w:rsidRDefault="00DB7A7A" w:rsidP="00326A96">
            <w:pPr>
              <w:spacing w:line="259" w:lineRule="auto"/>
              <w:ind w:left="100"/>
              <w:rPr>
                <w:rFonts w:eastAsia="Cambria" w:cstheme="minorHAnsi"/>
                <w:color w:val="000000"/>
                <w:sz w:val="18"/>
                <w:szCs w:val="18"/>
                <w:vertAlign w:val="superscript"/>
              </w:rPr>
            </w:pPr>
            <w:r w:rsidRPr="004B6F79">
              <w:rPr>
                <w:rFonts w:eastAsia="Cambria" w:cstheme="minorHAnsi"/>
                <w:b/>
                <w:color w:val="000000"/>
                <w:sz w:val="18"/>
                <w:szCs w:val="18"/>
              </w:rPr>
              <w:t>Altitude</w:t>
            </w:r>
            <w:r w:rsidRPr="007719C5">
              <w:rPr>
                <w:rFonts w:ascii="Arial" w:hAnsi="Arial"/>
                <w:color w:val="666666"/>
                <w:vertAlign w:val="superscript"/>
              </w:rPr>
              <w:t>†</w:t>
            </w:r>
          </w:p>
        </w:tc>
        <w:tc>
          <w:tcPr>
            <w:tcW w:w="1140" w:type="pct"/>
            <w:tcBorders>
              <w:top w:val="nil"/>
              <w:left w:val="nil"/>
              <w:bottom w:val="nil"/>
              <w:right w:val="nil"/>
            </w:tcBorders>
          </w:tcPr>
          <w:p w14:paraId="01A3F601"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0A212CFA"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35C73788"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36AA310A"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78A363E6" w14:textId="77777777" w:rsidTr="00155244">
        <w:tc>
          <w:tcPr>
            <w:tcW w:w="1147" w:type="pct"/>
            <w:tcBorders>
              <w:top w:val="nil"/>
              <w:left w:val="nil"/>
              <w:bottom w:val="nil"/>
              <w:right w:val="nil"/>
            </w:tcBorders>
          </w:tcPr>
          <w:p w14:paraId="2F7387CB"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High altitude (</w:t>
            </w:r>
            <w:r w:rsidRPr="004B6F79">
              <w:rPr>
                <w:rFonts w:eastAsia="Cambria" w:cstheme="minorHAnsi"/>
                <w:i/>
                <w:color w:val="000000"/>
                <w:sz w:val="18"/>
                <w:szCs w:val="18"/>
              </w:rPr>
              <w:t xml:space="preserve">&gt; </w:t>
            </w:r>
            <w:r w:rsidRPr="004B6F79">
              <w:rPr>
                <w:rFonts w:eastAsia="Cambria" w:cstheme="minorHAnsi"/>
                <w:color w:val="000000"/>
                <w:sz w:val="18"/>
                <w:szCs w:val="18"/>
              </w:rPr>
              <w:t>200 m)</w:t>
            </w:r>
          </w:p>
        </w:tc>
        <w:tc>
          <w:tcPr>
            <w:tcW w:w="1140" w:type="pct"/>
            <w:tcBorders>
              <w:top w:val="nil"/>
              <w:left w:val="nil"/>
              <w:bottom w:val="nil"/>
              <w:right w:val="nil"/>
            </w:tcBorders>
          </w:tcPr>
          <w:p w14:paraId="7E2D50E2"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437 (19.0)</w:t>
            </w:r>
          </w:p>
        </w:tc>
        <w:tc>
          <w:tcPr>
            <w:tcW w:w="908" w:type="pct"/>
            <w:tcBorders>
              <w:top w:val="nil"/>
              <w:left w:val="nil"/>
              <w:bottom w:val="nil"/>
              <w:right w:val="nil"/>
            </w:tcBorders>
          </w:tcPr>
          <w:p w14:paraId="2B84DBA6"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124 (5.38)</w:t>
            </w:r>
          </w:p>
        </w:tc>
        <w:tc>
          <w:tcPr>
            <w:tcW w:w="965" w:type="pct"/>
            <w:tcBorders>
              <w:top w:val="nil"/>
              <w:left w:val="nil"/>
              <w:bottom w:val="nil"/>
              <w:right w:val="nil"/>
            </w:tcBorders>
          </w:tcPr>
          <w:p w14:paraId="22EB385D"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86 (3.73)</w:t>
            </w:r>
          </w:p>
        </w:tc>
        <w:tc>
          <w:tcPr>
            <w:tcW w:w="841" w:type="pct"/>
            <w:tcBorders>
              <w:top w:val="nil"/>
              <w:left w:val="nil"/>
              <w:bottom w:val="nil"/>
              <w:right w:val="nil"/>
            </w:tcBorders>
          </w:tcPr>
          <w:p w14:paraId="34DDFF15"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227 (9.85)</w:t>
            </w:r>
          </w:p>
        </w:tc>
      </w:tr>
      <w:tr w:rsidR="00DB7A7A" w:rsidRPr="004832BA" w14:paraId="6202CB8B" w14:textId="77777777" w:rsidTr="00155244">
        <w:tc>
          <w:tcPr>
            <w:tcW w:w="1147" w:type="pct"/>
            <w:tcBorders>
              <w:top w:val="nil"/>
              <w:left w:val="nil"/>
              <w:bottom w:val="nil"/>
              <w:right w:val="nil"/>
            </w:tcBorders>
          </w:tcPr>
          <w:p w14:paraId="2F3C7640"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Low altitude (≤ 200 m)</w:t>
            </w:r>
          </w:p>
        </w:tc>
        <w:tc>
          <w:tcPr>
            <w:tcW w:w="1140" w:type="pct"/>
            <w:tcBorders>
              <w:top w:val="nil"/>
              <w:left w:val="nil"/>
              <w:bottom w:val="nil"/>
              <w:right w:val="nil"/>
            </w:tcBorders>
          </w:tcPr>
          <w:p w14:paraId="3D914D4B"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1,868 (81.0)</w:t>
            </w:r>
          </w:p>
        </w:tc>
        <w:tc>
          <w:tcPr>
            <w:tcW w:w="908" w:type="pct"/>
            <w:tcBorders>
              <w:top w:val="nil"/>
              <w:left w:val="nil"/>
              <w:bottom w:val="nil"/>
              <w:right w:val="nil"/>
            </w:tcBorders>
          </w:tcPr>
          <w:p w14:paraId="0A4EFA22"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568 (24.6)</w:t>
            </w:r>
          </w:p>
        </w:tc>
        <w:tc>
          <w:tcPr>
            <w:tcW w:w="965" w:type="pct"/>
            <w:tcBorders>
              <w:top w:val="nil"/>
              <w:left w:val="nil"/>
              <w:bottom w:val="nil"/>
              <w:right w:val="nil"/>
            </w:tcBorders>
          </w:tcPr>
          <w:p w14:paraId="12DEB38F"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605 (26.2)</w:t>
            </w:r>
          </w:p>
        </w:tc>
        <w:tc>
          <w:tcPr>
            <w:tcW w:w="841" w:type="pct"/>
            <w:tcBorders>
              <w:top w:val="nil"/>
              <w:left w:val="nil"/>
              <w:bottom w:val="nil"/>
              <w:right w:val="nil"/>
            </w:tcBorders>
          </w:tcPr>
          <w:p w14:paraId="049B3A30"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695 (30.2)</w:t>
            </w:r>
          </w:p>
        </w:tc>
      </w:tr>
      <w:tr w:rsidR="00DB7A7A" w:rsidRPr="004832BA" w14:paraId="171F2685" w14:textId="77777777" w:rsidTr="00155244">
        <w:tc>
          <w:tcPr>
            <w:tcW w:w="1147" w:type="pct"/>
            <w:tcBorders>
              <w:top w:val="nil"/>
              <w:left w:val="nil"/>
              <w:bottom w:val="nil"/>
              <w:right w:val="nil"/>
            </w:tcBorders>
          </w:tcPr>
          <w:p w14:paraId="20476DC9"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b/>
                <w:color w:val="000000"/>
                <w:sz w:val="18"/>
                <w:szCs w:val="18"/>
              </w:rPr>
              <w:t>Stratified by Province</w:t>
            </w:r>
          </w:p>
        </w:tc>
        <w:tc>
          <w:tcPr>
            <w:tcW w:w="1140" w:type="pct"/>
            <w:tcBorders>
              <w:top w:val="nil"/>
              <w:left w:val="nil"/>
              <w:bottom w:val="nil"/>
              <w:right w:val="nil"/>
            </w:tcBorders>
          </w:tcPr>
          <w:p w14:paraId="6F4B8D23"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40725EBE"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7EA96F91"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452A17FE"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161BD3A1" w14:textId="77777777" w:rsidTr="00155244">
        <w:tc>
          <w:tcPr>
            <w:tcW w:w="1147" w:type="pct"/>
            <w:tcBorders>
              <w:top w:val="nil"/>
              <w:left w:val="nil"/>
              <w:bottom w:val="nil"/>
              <w:right w:val="nil"/>
            </w:tcBorders>
          </w:tcPr>
          <w:p w14:paraId="2115684D"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Ningxia</w:t>
            </w:r>
          </w:p>
        </w:tc>
        <w:tc>
          <w:tcPr>
            <w:tcW w:w="1140" w:type="pct"/>
            <w:tcBorders>
              <w:top w:val="nil"/>
              <w:left w:val="nil"/>
              <w:bottom w:val="nil"/>
              <w:right w:val="nil"/>
            </w:tcBorders>
          </w:tcPr>
          <w:p w14:paraId="4D4F1D5A" w14:textId="77777777" w:rsidR="00DB7A7A" w:rsidRPr="004B6F79" w:rsidRDefault="00DB7A7A" w:rsidP="00326A96">
            <w:pPr>
              <w:spacing w:line="259" w:lineRule="auto"/>
              <w:ind w:left="804"/>
              <w:rPr>
                <w:rFonts w:eastAsia="Cambria" w:cstheme="minorHAnsi"/>
                <w:color w:val="000000"/>
                <w:sz w:val="18"/>
                <w:szCs w:val="18"/>
              </w:rPr>
            </w:pPr>
            <w:r w:rsidRPr="004B6F79">
              <w:rPr>
                <w:rFonts w:eastAsia="Cambria" w:cstheme="minorHAnsi"/>
                <w:color w:val="000000"/>
                <w:sz w:val="18"/>
                <w:szCs w:val="18"/>
              </w:rPr>
              <w:t>210 (9.10)</w:t>
            </w:r>
          </w:p>
        </w:tc>
        <w:tc>
          <w:tcPr>
            <w:tcW w:w="908" w:type="pct"/>
            <w:tcBorders>
              <w:top w:val="nil"/>
              <w:left w:val="nil"/>
              <w:bottom w:val="nil"/>
              <w:right w:val="nil"/>
            </w:tcBorders>
          </w:tcPr>
          <w:p w14:paraId="6F25D531"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123 (5.34)</w:t>
            </w:r>
          </w:p>
        </w:tc>
        <w:tc>
          <w:tcPr>
            <w:tcW w:w="965" w:type="pct"/>
            <w:tcBorders>
              <w:top w:val="nil"/>
              <w:left w:val="nil"/>
              <w:bottom w:val="nil"/>
              <w:right w:val="nil"/>
            </w:tcBorders>
          </w:tcPr>
          <w:p w14:paraId="1970AE4B"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83 (3.60)</w:t>
            </w:r>
          </w:p>
        </w:tc>
        <w:tc>
          <w:tcPr>
            <w:tcW w:w="841" w:type="pct"/>
            <w:tcBorders>
              <w:top w:val="nil"/>
              <w:left w:val="nil"/>
              <w:bottom w:val="nil"/>
              <w:right w:val="nil"/>
            </w:tcBorders>
          </w:tcPr>
          <w:p w14:paraId="12DB1F88" w14:textId="77777777" w:rsidR="00DB7A7A" w:rsidRPr="004B6F79" w:rsidRDefault="00DB7A7A" w:rsidP="00326A96">
            <w:pPr>
              <w:spacing w:line="259" w:lineRule="auto"/>
              <w:ind w:left="765"/>
              <w:rPr>
                <w:rFonts w:eastAsia="Cambria" w:cstheme="minorHAnsi"/>
                <w:color w:val="000000"/>
                <w:sz w:val="18"/>
                <w:szCs w:val="18"/>
              </w:rPr>
            </w:pPr>
            <w:r w:rsidRPr="004B6F79">
              <w:rPr>
                <w:rFonts w:eastAsia="Cambria" w:cstheme="minorHAnsi"/>
                <w:color w:val="000000"/>
                <w:sz w:val="18"/>
                <w:szCs w:val="18"/>
              </w:rPr>
              <w:t>4 (0.17)</w:t>
            </w:r>
          </w:p>
        </w:tc>
      </w:tr>
      <w:tr w:rsidR="00DB7A7A" w:rsidRPr="004832BA" w14:paraId="707C0764" w14:textId="77777777" w:rsidTr="00155244">
        <w:tc>
          <w:tcPr>
            <w:tcW w:w="1147" w:type="pct"/>
            <w:tcBorders>
              <w:top w:val="nil"/>
              <w:left w:val="nil"/>
              <w:bottom w:val="nil"/>
              <w:right w:val="nil"/>
            </w:tcBorders>
          </w:tcPr>
          <w:p w14:paraId="449271D3"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Zhejiang</w:t>
            </w:r>
          </w:p>
        </w:tc>
        <w:tc>
          <w:tcPr>
            <w:tcW w:w="1140" w:type="pct"/>
            <w:tcBorders>
              <w:top w:val="nil"/>
              <w:left w:val="nil"/>
              <w:bottom w:val="nil"/>
              <w:right w:val="nil"/>
            </w:tcBorders>
          </w:tcPr>
          <w:p w14:paraId="4125772E"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2,095 (90.9)</w:t>
            </w:r>
          </w:p>
        </w:tc>
        <w:tc>
          <w:tcPr>
            <w:tcW w:w="908" w:type="pct"/>
            <w:tcBorders>
              <w:top w:val="nil"/>
              <w:left w:val="nil"/>
              <w:bottom w:val="nil"/>
              <w:right w:val="nil"/>
            </w:tcBorders>
          </w:tcPr>
          <w:p w14:paraId="5559FD25"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569 (24.7)</w:t>
            </w:r>
          </w:p>
        </w:tc>
        <w:tc>
          <w:tcPr>
            <w:tcW w:w="965" w:type="pct"/>
            <w:tcBorders>
              <w:top w:val="nil"/>
              <w:left w:val="nil"/>
              <w:bottom w:val="nil"/>
              <w:right w:val="nil"/>
            </w:tcBorders>
          </w:tcPr>
          <w:p w14:paraId="785161AF"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608 (26.4)</w:t>
            </w:r>
          </w:p>
        </w:tc>
        <w:tc>
          <w:tcPr>
            <w:tcW w:w="841" w:type="pct"/>
            <w:tcBorders>
              <w:top w:val="nil"/>
              <w:left w:val="nil"/>
              <w:bottom w:val="nil"/>
              <w:right w:val="nil"/>
            </w:tcBorders>
          </w:tcPr>
          <w:p w14:paraId="651D7055"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918 (39.8)</w:t>
            </w:r>
          </w:p>
        </w:tc>
      </w:tr>
      <w:tr w:rsidR="00DB7A7A" w:rsidRPr="004832BA" w14:paraId="5FC0F3A9" w14:textId="77777777" w:rsidTr="00155244">
        <w:tc>
          <w:tcPr>
            <w:tcW w:w="1147" w:type="pct"/>
            <w:tcBorders>
              <w:top w:val="nil"/>
              <w:left w:val="nil"/>
              <w:bottom w:val="nil"/>
              <w:right w:val="nil"/>
            </w:tcBorders>
          </w:tcPr>
          <w:p w14:paraId="61347DF0" w14:textId="159E1A27" w:rsidR="00DB7A7A" w:rsidRPr="007719C5" w:rsidRDefault="00DB7A7A" w:rsidP="007719C5">
            <w:r w:rsidRPr="004B6F79">
              <w:rPr>
                <w:rFonts w:eastAsia="Cambria" w:cstheme="minorHAnsi"/>
                <w:b/>
                <w:color w:val="000000"/>
                <w:sz w:val="18"/>
                <w:szCs w:val="18"/>
              </w:rPr>
              <w:t>Nighttime Light</w:t>
            </w:r>
            <w:r>
              <w:rPr>
                <w:color w:val="666666"/>
              </w:rPr>
              <w:t xml:space="preserve"> </w:t>
            </w:r>
            <w:r w:rsidRPr="004B6F79">
              <w:rPr>
                <w:rFonts w:eastAsia="Cambria" w:cstheme="minorHAnsi"/>
                <w:b/>
                <w:color w:val="000000"/>
                <w:sz w:val="18"/>
                <w:szCs w:val="18"/>
              </w:rPr>
              <w:t>(NTL)</w:t>
            </w:r>
            <w:r w:rsidRPr="007719C5">
              <w:rPr>
                <w:rFonts w:ascii="Arial" w:hAnsi="Arial"/>
                <w:color w:val="666666"/>
                <w:vertAlign w:val="superscript"/>
              </w:rPr>
              <w:t>‡</w:t>
            </w:r>
          </w:p>
        </w:tc>
        <w:tc>
          <w:tcPr>
            <w:tcW w:w="1140" w:type="pct"/>
            <w:tcBorders>
              <w:top w:val="nil"/>
              <w:left w:val="nil"/>
              <w:bottom w:val="nil"/>
              <w:right w:val="nil"/>
            </w:tcBorders>
          </w:tcPr>
          <w:p w14:paraId="35D04EB5" w14:textId="77777777" w:rsidR="00DB7A7A" w:rsidRPr="004B6F79" w:rsidRDefault="00DB7A7A" w:rsidP="00326A96">
            <w:pPr>
              <w:spacing w:line="259" w:lineRule="auto"/>
              <w:rPr>
                <w:rFonts w:eastAsia="Cambria" w:cstheme="minorHAnsi"/>
                <w:color w:val="000000"/>
                <w:sz w:val="18"/>
                <w:szCs w:val="18"/>
              </w:rPr>
            </w:pPr>
          </w:p>
        </w:tc>
        <w:tc>
          <w:tcPr>
            <w:tcW w:w="908" w:type="pct"/>
            <w:tcBorders>
              <w:top w:val="nil"/>
              <w:left w:val="nil"/>
              <w:bottom w:val="nil"/>
              <w:right w:val="nil"/>
            </w:tcBorders>
          </w:tcPr>
          <w:p w14:paraId="13684C86" w14:textId="77777777" w:rsidR="00DB7A7A" w:rsidRPr="004B6F79" w:rsidRDefault="00DB7A7A" w:rsidP="00326A96">
            <w:pPr>
              <w:spacing w:line="259" w:lineRule="auto"/>
              <w:rPr>
                <w:rFonts w:eastAsia="Cambria" w:cstheme="minorHAnsi"/>
                <w:color w:val="000000"/>
                <w:sz w:val="18"/>
                <w:szCs w:val="18"/>
              </w:rPr>
            </w:pPr>
          </w:p>
        </w:tc>
        <w:tc>
          <w:tcPr>
            <w:tcW w:w="965" w:type="pct"/>
            <w:tcBorders>
              <w:top w:val="nil"/>
              <w:left w:val="nil"/>
              <w:bottom w:val="nil"/>
              <w:right w:val="nil"/>
            </w:tcBorders>
          </w:tcPr>
          <w:p w14:paraId="234C7132" w14:textId="77777777" w:rsidR="00DB7A7A" w:rsidRPr="004B6F79" w:rsidRDefault="00DB7A7A" w:rsidP="00326A96">
            <w:pPr>
              <w:spacing w:line="259" w:lineRule="auto"/>
              <w:rPr>
                <w:rFonts w:eastAsia="Cambria" w:cstheme="minorHAnsi"/>
                <w:color w:val="000000"/>
                <w:sz w:val="18"/>
                <w:szCs w:val="18"/>
              </w:rPr>
            </w:pPr>
          </w:p>
        </w:tc>
        <w:tc>
          <w:tcPr>
            <w:tcW w:w="841" w:type="pct"/>
            <w:tcBorders>
              <w:top w:val="nil"/>
              <w:left w:val="nil"/>
              <w:bottom w:val="nil"/>
              <w:right w:val="nil"/>
            </w:tcBorders>
          </w:tcPr>
          <w:p w14:paraId="469F4DB3" w14:textId="77777777" w:rsidR="00DB7A7A" w:rsidRPr="004B6F79" w:rsidRDefault="00DB7A7A" w:rsidP="00326A96">
            <w:pPr>
              <w:spacing w:line="259" w:lineRule="auto"/>
              <w:rPr>
                <w:rFonts w:eastAsia="Cambria" w:cstheme="minorHAnsi"/>
                <w:color w:val="000000"/>
                <w:sz w:val="18"/>
                <w:szCs w:val="18"/>
              </w:rPr>
            </w:pPr>
          </w:p>
        </w:tc>
      </w:tr>
      <w:tr w:rsidR="00DB7A7A" w:rsidRPr="004832BA" w14:paraId="0EB0D651" w14:textId="77777777" w:rsidTr="00155244">
        <w:tc>
          <w:tcPr>
            <w:tcW w:w="1147" w:type="pct"/>
            <w:tcBorders>
              <w:top w:val="nil"/>
              <w:left w:val="nil"/>
              <w:bottom w:val="nil"/>
              <w:right w:val="nil"/>
            </w:tcBorders>
          </w:tcPr>
          <w:p w14:paraId="08508D90"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High NTL</w:t>
            </w:r>
          </w:p>
        </w:tc>
        <w:tc>
          <w:tcPr>
            <w:tcW w:w="1140" w:type="pct"/>
            <w:tcBorders>
              <w:top w:val="nil"/>
              <w:left w:val="nil"/>
              <w:bottom w:val="nil"/>
              <w:right w:val="nil"/>
            </w:tcBorders>
          </w:tcPr>
          <w:p w14:paraId="155387C2"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1,152 (50.0)</w:t>
            </w:r>
          </w:p>
        </w:tc>
        <w:tc>
          <w:tcPr>
            <w:tcW w:w="908" w:type="pct"/>
            <w:tcBorders>
              <w:top w:val="nil"/>
              <w:left w:val="nil"/>
              <w:bottom w:val="nil"/>
              <w:right w:val="nil"/>
            </w:tcBorders>
          </w:tcPr>
          <w:p w14:paraId="408BEB07"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596 (25.9)</w:t>
            </w:r>
          </w:p>
        </w:tc>
        <w:tc>
          <w:tcPr>
            <w:tcW w:w="965" w:type="pct"/>
            <w:tcBorders>
              <w:top w:val="nil"/>
              <w:left w:val="nil"/>
              <w:bottom w:val="nil"/>
              <w:right w:val="nil"/>
            </w:tcBorders>
          </w:tcPr>
          <w:p w14:paraId="52C4454E"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458 (19.9)</w:t>
            </w:r>
          </w:p>
        </w:tc>
        <w:tc>
          <w:tcPr>
            <w:tcW w:w="841" w:type="pct"/>
            <w:tcBorders>
              <w:top w:val="nil"/>
              <w:left w:val="nil"/>
              <w:bottom w:val="nil"/>
              <w:right w:val="nil"/>
            </w:tcBorders>
          </w:tcPr>
          <w:p w14:paraId="4EA3B267"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98 (4.25)</w:t>
            </w:r>
          </w:p>
        </w:tc>
      </w:tr>
      <w:tr w:rsidR="00DB7A7A" w:rsidRPr="004832BA" w14:paraId="31112D2F" w14:textId="77777777" w:rsidTr="00155244">
        <w:tc>
          <w:tcPr>
            <w:tcW w:w="1147" w:type="pct"/>
            <w:tcBorders>
              <w:top w:val="nil"/>
              <w:left w:val="nil"/>
              <w:bottom w:val="single" w:sz="5" w:space="0" w:color="000000"/>
              <w:right w:val="nil"/>
            </w:tcBorders>
          </w:tcPr>
          <w:p w14:paraId="311A8A6A" w14:textId="77777777" w:rsidR="00DB7A7A" w:rsidRPr="004B6F79" w:rsidRDefault="00DB7A7A" w:rsidP="00326A96">
            <w:pPr>
              <w:spacing w:line="259" w:lineRule="auto"/>
              <w:ind w:left="100"/>
              <w:rPr>
                <w:rFonts w:eastAsia="Cambria" w:cstheme="minorHAnsi"/>
                <w:color w:val="000000"/>
                <w:sz w:val="18"/>
                <w:szCs w:val="18"/>
              </w:rPr>
            </w:pPr>
            <w:r w:rsidRPr="004B6F79">
              <w:rPr>
                <w:rFonts w:eastAsia="Cambria" w:cstheme="minorHAnsi"/>
                <w:color w:val="000000"/>
                <w:sz w:val="18"/>
                <w:szCs w:val="18"/>
              </w:rPr>
              <w:t>Low NTL</w:t>
            </w:r>
          </w:p>
        </w:tc>
        <w:tc>
          <w:tcPr>
            <w:tcW w:w="1140" w:type="pct"/>
            <w:tcBorders>
              <w:top w:val="nil"/>
              <w:left w:val="nil"/>
              <w:bottom w:val="single" w:sz="5" w:space="0" w:color="000000"/>
              <w:right w:val="nil"/>
            </w:tcBorders>
          </w:tcPr>
          <w:p w14:paraId="623CC5B2" w14:textId="77777777" w:rsidR="00DB7A7A" w:rsidRPr="004B6F79" w:rsidRDefault="00DB7A7A" w:rsidP="00326A96">
            <w:pPr>
              <w:spacing w:line="259" w:lineRule="auto"/>
              <w:ind w:left="673"/>
              <w:rPr>
                <w:rFonts w:eastAsia="Cambria" w:cstheme="minorHAnsi"/>
                <w:color w:val="000000"/>
                <w:sz w:val="18"/>
                <w:szCs w:val="18"/>
              </w:rPr>
            </w:pPr>
            <w:r w:rsidRPr="004B6F79">
              <w:rPr>
                <w:rFonts w:eastAsia="Cambria" w:cstheme="minorHAnsi"/>
                <w:color w:val="000000"/>
                <w:sz w:val="18"/>
                <w:szCs w:val="18"/>
              </w:rPr>
              <w:t>1,153 (50.0)</w:t>
            </w:r>
          </w:p>
        </w:tc>
        <w:tc>
          <w:tcPr>
            <w:tcW w:w="908" w:type="pct"/>
            <w:tcBorders>
              <w:top w:val="nil"/>
              <w:left w:val="nil"/>
              <w:bottom w:val="single" w:sz="5" w:space="0" w:color="000000"/>
              <w:right w:val="nil"/>
            </w:tcBorders>
          </w:tcPr>
          <w:p w14:paraId="5079188D" w14:textId="77777777" w:rsidR="00DB7A7A" w:rsidRPr="004B6F79" w:rsidRDefault="00DB7A7A" w:rsidP="00326A96">
            <w:pPr>
              <w:spacing w:line="259" w:lineRule="auto"/>
              <w:ind w:left="680"/>
              <w:rPr>
                <w:rFonts w:eastAsia="Cambria" w:cstheme="minorHAnsi"/>
                <w:color w:val="000000"/>
                <w:sz w:val="18"/>
                <w:szCs w:val="18"/>
              </w:rPr>
            </w:pPr>
            <w:r w:rsidRPr="004B6F79">
              <w:rPr>
                <w:rFonts w:eastAsia="Cambria" w:cstheme="minorHAnsi"/>
                <w:color w:val="000000"/>
                <w:sz w:val="18"/>
                <w:szCs w:val="18"/>
              </w:rPr>
              <w:t>96 (4.16)</w:t>
            </w:r>
          </w:p>
        </w:tc>
        <w:tc>
          <w:tcPr>
            <w:tcW w:w="965" w:type="pct"/>
            <w:tcBorders>
              <w:top w:val="nil"/>
              <w:left w:val="nil"/>
              <w:bottom w:val="single" w:sz="5" w:space="0" w:color="000000"/>
              <w:right w:val="nil"/>
            </w:tcBorders>
          </w:tcPr>
          <w:p w14:paraId="50AFBFB9"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233 (10.1)</w:t>
            </w:r>
          </w:p>
        </w:tc>
        <w:tc>
          <w:tcPr>
            <w:tcW w:w="841" w:type="pct"/>
            <w:tcBorders>
              <w:top w:val="nil"/>
              <w:left w:val="nil"/>
              <w:bottom w:val="single" w:sz="5" w:space="0" w:color="000000"/>
              <w:right w:val="nil"/>
            </w:tcBorders>
          </w:tcPr>
          <w:p w14:paraId="015B08A2" w14:textId="77777777" w:rsidR="00DB7A7A" w:rsidRPr="004B6F79" w:rsidRDefault="00DB7A7A" w:rsidP="00326A96">
            <w:pPr>
              <w:spacing w:line="259" w:lineRule="auto"/>
              <w:ind w:left="595"/>
              <w:rPr>
                <w:rFonts w:eastAsia="Cambria" w:cstheme="minorHAnsi"/>
                <w:color w:val="000000"/>
                <w:sz w:val="18"/>
                <w:szCs w:val="18"/>
              </w:rPr>
            </w:pPr>
            <w:r w:rsidRPr="004B6F79">
              <w:rPr>
                <w:rFonts w:eastAsia="Cambria" w:cstheme="minorHAnsi"/>
                <w:color w:val="000000"/>
                <w:sz w:val="18"/>
                <w:szCs w:val="18"/>
              </w:rPr>
              <w:t>824 (3.57)</w:t>
            </w:r>
          </w:p>
        </w:tc>
      </w:tr>
    </w:tbl>
    <w:p w14:paraId="6DDFECA2" w14:textId="23EB603E" w:rsidR="00DB7A7A" w:rsidRDefault="007719C5" w:rsidP="00BB0D77">
      <w:pPr>
        <w:pStyle w:val="FootnoteText"/>
        <w:rPr>
          <w:sz w:val="18"/>
          <w:szCs w:val="18"/>
        </w:rPr>
      </w:pPr>
      <w:r w:rsidRPr="007719C5">
        <w:rPr>
          <w:sz w:val="18"/>
          <w:szCs w:val="18"/>
          <w:vertAlign w:val="superscript"/>
        </w:rPr>
        <w:t>*</w:t>
      </w:r>
      <w:r w:rsidR="00BB0D77" w:rsidRPr="00523F76">
        <w:rPr>
          <w:sz w:val="18"/>
          <w:szCs w:val="18"/>
        </w:rPr>
        <w:t>Greenness exposure is defined as 16-day average NDVI within 500m buffer around patient’s residence address during</w:t>
      </w:r>
    </w:p>
    <w:p w14:paraId="0EE05AA5" w14:textId="658657B7" w:rsidR="00BB0D77" w:rsidRDefault="00BB0D77" w:rsidP="00BB0D77">
      <w:pPr>
        <w:pStyle w:val="FootnoteText"/>
        <w:rPr>
          <w:sz w:val="18"/>
          <w:szCs w:val="18"/>
        </w:rPr>
      </w:pPr>
      <w:r w:rsidRPr="00523F76">
        <w:rPr>
          <w:sz w:val="18"/>
          <w:szCs w:val="18"/>
        </w:rPr>
        <w:t xml:space="preserve"> follow-up, dividing into </w:t>
      </w:r>
      <w:proofErr w:type="spellStart"/>
      <w:r w:rsidRPr="00523F76">
        <w:rPr>
          <w:sz w:val="18"/>
          <w:szCs w:val="18"/>
        </w:rPr>
        <w:t>tertiles</w:t>
      </w:r>
      <w:proofErr w:type="spellEnd"/>
      <w:r w:rsidRPr="00523F76">
        <w:rPr>
          <w:sz w:val="18"/>
          <w:szCs w:val="18"/>
        </w:rPr>
        <w:t>.</w:t>
      </w:r>
    </w:p>
    <w:p w14:paraId="7474EB59" w14:textId="1B0D3F43" w:rsidR="00BB0D77" w:rsidRDefault="007719C5" w:rsidP="00BB0D77">
      <w:pPr>
        <w:pStyle w:val="FootnoteText"/>
        <w:rPr>
          <w:sz w:val="18"/>
          <w:szCs w:val="18"/>
          <w:lang w:val="en-US"/>
        </w:rPr>
      </w:pPr>
      <w:r w:rsidRPr="007719C5">
        <w:rPr>
          <w:rFonts w:ascii="Arial" w:hAnsi="Arial"/>
          <w:color w:val="666666"/>
          <w:vertAlign w:val="superscript"/>
        </w:rPr>
        <w:t>†</w:t>
      </w:r>
      <w:r w:rsidR="00BB0D77" w:rsidRPr="00523F76">
        <w:rPr>
          <w:sz w:val="18"/>
          <w:szCs w:val="18"/>
        </w:rPr>
        <w:t xml:space="preserve"> </w:t>
      </w:r>
      <w:r w:rsidR="00BB0D77" w:rsidRPr="00BB0D77">
        <w:rPr>
          <w:sz w:val="18"/>
          <w:szCs w:val="18"/>
          <w:lang w:val="en-US"/>
        </w:rPr>
        <w:t>Altitude as proxy for meteorological factors, using the mean value of 200 meters as the low-high cuto</w:t>
      </w:r>
      <w:r w:rsidR="00BB0D77">
        <w:rPr>
          <w:sz w:val="18"/>
          <w:szCs w:val="18"/>
          <w:lang w:val="en-US"/>
        </w:rPr>
        <w:t>ff</w:t>
      </w:r>
      <w:r w:rsidR="00BB0D77" w:rsidRPr="00BB0D77">
        <w:rPr>
          <w:sz w:val="18"/>
          <w:szCs w:val="18"/>
          <w:lang w:val="en-US"/>
        </w:rPr>
        <w:t>.</w:t>
      </w:r>
    </w:p>
    <w:p w14:paraId="0EADF133" w14:textId="77777777" w:rsidR="00DB7A7A" w:rsidRDefault="007719C5" w:rsidP="00BB0D77">
      <w:pPr>
        <w:pStyle w:val="FootnoteText"/>
        <w:rPr>
          <w:sz w:val="18"/>
          <w:szCs w:val="18"/>
          <w:lang w:val="en-US"/>
        </w:rPr>
      </w:pPr>
      <w:r w:rsidRPr="007719C5">
        <w:rPr>
          <w:rFonts w:ascii="Arial" w:hAnsi="Arial"/>
          <w:color w:val="666666"/>
          <w:vertAlign w:val="superscript"/>
        </w:rPr>
        <w:t>‡</w:t>
      </w:r>
      <w:r w:rsidR="00BB0D77" w:rsidRPr="00523F76">
        <w:rPr>
          <w:sz w:val="18"/>
          <w:szCs w:val="18"/>
        </w:rPr>
        <w:t xml:space="preserve"> </w:t>
      </w:r>
      <w:r w:rsidR="00BB0D77" w:rsidRPr="00BB0D77">
        <w:rPr>
          <w:sz w:val="18"/>
          <w:szCs w:val="18"/>
          <w:lang w:val="en-US"/>
        </w:rPr>
        <w:t xml:space="preserve">NTL: nighttime light index as proxy for socio-economic and urbanization level, using the median value of 6.42 as the </w:t>
      </w:r>
    </w:p>
    <w:p w14:paraId="68AB1262" w14:textId="21F3526D" w:rsidR="00BB0D77" w:rsidRDefault="00BB0D77" w:rsidP="00BB0D77">
      <w:pPr>
        <w:pStyle w:val="FootnoteText"/>
        <w:rPr>
          <w:sz w:val="18"/>
          <w:szCs w:val="18"/>
        </w:rPr>
      </w:pPr>
      <w:r w:rsidRPr="00BB0D77">
        <w:rPr>
          <w:sz w:val="18"/>
          <w:szCs w:val="18"/>
          <w:lang w:val="en-US"/>
        </w:rPr>
        <w:t>low-high cuto</w:t>
      </w:r>
      <w:r>
        <w:rPr>
          <w:sz w:val="18"/>
          <w:szCs w:val="18"/>
          <w:lang w:val="en-US"/>
        </w:rPr>
        <w:t>ff</w:t>
      </w:r>
      <w:r w:rsidRPr="00BB0D77">
        <w:rPr>
          <w:sz w:val="18"/>
          <w:szCs w:val="18"/>
          <w:lang w:val="en-US"/>
        </w:rPr>
        <w:t>.</w:t>
      </w:r>
    </w:p>
    <w:p w14:paraId="4B5E2AF6" w14:textId="77777777" w:rsidR="00BB0D77" w:rsidRDefault="0012463E" w:rsidP="0012463E">
      <w:pPr>
        <w:rPr>
          <w:rFonts w:eastAsia="Cambria" w:cstheme="minorHAnsi"/>
          <w:i/>
          <w:iCs/>
          <w:color w:val="44546A" w:themeColor="text2"/>
          <w:sz w:val="18"/>
          <w:szCs w:val="18"/>
          <w:lang w:val="en-US"/>
        </w:rPr>
      </w:pPr>
      <w:r>
        <w:rPr>
          <w:rFonts w:eastAsia="Cambria" w:cstheme="minorHAnsi"/>
          <w:i/>
          <w:iCs/>
          <w:color w:val="44546A" w:themeColor="text2"/>
          <w:sz w:val="18"/>
          <w:szCs w:val="18"/>
          <w:lang w:val="en-US"/>
        </w:rPr>
        <w:br w:type="page"/>
      </w:r>
    </w:p>
    <w:p w14:paraId="1502AB42" w14:textId="55E794C3" w:rsidR="00B47268" w:rsidRPr="0012463E" w:rsidRDefault="00B47268" w:rsidP="0012463E">
      <w:pPr>
        <w:rPr>
          <w:rFonts w:asciiTheme="minorHAnsi" w:eastAsia="Cambria" w:hAnsiTheme="minorHAnsi" w:cstheme="minorHAnsi"/>
          <w:i/>
          <w:iCs/>
          <w:color w:val="44546A" w:themeColor="text2"/>
          <w:sz w:val="18"/>
          <w:szCs w:val="18"/>
          <w:lang w:val="en-US"/>
        </w:rPr>
      </w:pPr>
      <w:r w:rsidRPr="00670FA1">
        <w:rPr>
          <w:rFonts w:eastAsia="Cambria" w:cstheme="minorHAnsi"/>
          <w:i/>
          <w:iCs/>
          <w:color w:val="44546A" w:themeColor="text2"/>
          <w:sz w:val="18"/>
          <w:szCs w:val="18"/>
          <w:lang w:val="en-US"/>
        </w:rPr>
        <w:lastRenderedPageBreak/>
        <w:t xml:space="preserve">Table </w:t>
      </w:r>
      <w:r w:rsidRPr="00670FA1">
        <w:rPr>
          <w:rFonts w:eastAsia="Cambria" w:cstheme="minorHAnsi"/>
          <w:i/>
          <w:iCs/>
          <w:color w:val="44546A" w:themeColor="text2"/>
          <w:sz w:val="18"/>
          <w:szCs w:val="18"/>
          <w:lang w:val="en-US"/>
        </w:rPr>
        <w:fldChar w:fldCharType="begin"/>
      </w:r>
      <w:r w:rsidRPr="00670FA1">
        <w:rPr>
          <w:rFonts w:eastAsia="Cambria" w:cstheme="minorHAnsi"/>
          <w:i/>
          <w:iCs/>
          <w:color w:val="44546A" w:themeColor="text2"/>
          <w:sz w:val="18"/>
          <w:szCs w:val="18"/>
          <w:lang w:val="en-US"/>
        </w:rPr>
        <w:instrText xml:space="preserve"> SEQ Table \* ARABIC </w:instrText>
      </w:r>
      <w:r w:rsidRPr="00670FA1">
        <w:rPr>
          <w:rFonts w:eastAsia="Cambria" w:cstheme="minorHAnsi"/>
          <w:i/>
          <w:iCs/>
          <w:color w:val="44546A" w:themeColor="text2"/>
          <w:sz w:val="18"/>
          <w:szCs w:val="18"/>
          <w:lang w:val="en-US"/>
        </w:rPr>
        <w:fldChar w:fldCharType="separate"/>
      </w:r>
      <w:r w:rsidR="00523F76">
        <w:rPr>
          <w:rFonts w:eastAsia="Cambria" w:cstheme="minorHAnsi"/>
          <w:i/>
          <w:iCs/>
          <w:noProof/>
          <w:color w:val="44546A" w:themeColor="text2"/>
          <w:sz w:val="18"/>
          <w:szCs w:val="18"/>
          <w:lang w:val="en-US"/>
        </w:rPr>
        <w:t>2</w:t>
      </w:r>
      <w:r w:rsidRPr="00670FA1">
        <w:rPr>
          <w:rFonts w:eastAsia="Cambria" w:cstheme="minorHAnsi"/>
          <w:i/>
          <w:iCs/>
          <w:color w:val="44546A" w:themeColor="text2"/>
          <w:sz w:val="18"/>
          <w:szCs w:val="18"/>
          <w:lang w:val="en-US"/>
        </w:rPr>
        <w:fldChar w:fldCharType="end"/>
      </w:r>
      <w:r w:rsidRPr="00B47268">
        <w:rPr>
          <w:rFonts w:eastAsia="Cambria" w:cstheme="minorHAnsi"/>
          <w:i/>
          <w:iCs/>
          <w:color w:val="44546A" w:themeColor="text2"/>
          <w:sz w:val="18"/>
          <w:szCs w:val="18"/>
          <w:lang w:val="en-US"/>
        </w:rPr>
        <w:t xml:space="preserve">. </w:t>
      </w:r>
      <w:r w:rsidRPr="00670FA1">
        <w:rPr>
          <w:rFonts w:eastAsia="Cambria" w:cstheme="minorHAnsi"/>
          <w:i/>
          <w:iCs/>
          <w:color w:val="44546A" w:themeColor="text2"/>
          <w:sz w:val="18"/>
          <w:szCs w:val="18"/>
          <w:lang w:val="en-US"/>
        </w:rPr>
        <w:t>Baseline characteristics by NDVI, PM</w:t>
      </w:r>
      <w:r w:rsidRPr="00670FA1">
        <w:rPr>
          <w:rFonts w:eastAsia="Cambria" w:cstheme="minorHAnsi"/>
          <w:i/>
          <w:iCs/>
          <w:color w:val="44546A" w:themeColor="text2"/>
          <w:sz w:val="18"/>
          <w:szCs w:val="18"/>
          <w:vertAlign w:val="subscript"/>
          <w:lang w:val="en-US"/>
        </w:rPr>
        <w:t xml:space="preserve">2.5 </w:t>
      </w:r>
      <w:r w:rsidRPr="00670FA1">
        <w:rPr>
          <w:rFonts w:eastAsia="Cambria" w:cstheme="minorHAnsi"/>
          <w:i/>
          <w:iCs/>
          <w:color w:val="44546A" w:themeColor="text2"/>
          <w:sz w:val="18"/>
          <w:szCs w:val="18"/>
          <w:lang w:val="en-US"/>
        </w:rPr>
        <w:t>(µg/m</w:t>
      </w:r>
      <w:r w:rsidRPr="00670FA1">
        <w:rPr>
          <w:rFonts w:eastAsia="Cambria" w:cstheme="minorHAnsi"/>
          <w:i/>
          <w:iCs/>
          <w:color w:val="44546A" w:themeColor="text2"/>
          <w:sz w:val="18"/>
          <w:szCs w:val="18"/>
          <w:vertAlign w:val="superscript"/>
          <w:lang w:val="en-US"/>
        </w:rPr>
        <w:t>3</w:t>
      </w:r>
      <w:r w:rsidRPr="00670FA1">
        <w:rPr>
          <w:rFonts w:eastAsia="Cambria" w:cstheme="minorHAnsi"/>
          <w:i/>
          <w:iCs/>
          <w:color w:val="44546A" w:themeColor="text2"/>
          <w:sz w:val="18"/>
          <w:szCs w:val="18"/>
          <w:lang w:val="en-US"/>
        </w:rPr>
        <w:t xml:space="preserve">), and Ox (ppb)assigned to individuals in the full cohort (n = 2,305) and across the three </w:t>
      </w:r>
      <w:proofErr w:type="spellStart"/>
      <w:r w:rsidRPr="00670FA1">
        <w:rPr>
          <w:rFonts w:eastAsia="Cambria" w:cstheme="minorHAnsi"/>
          <w:i/>
          <w:iCs/>
          <w:color w:val="44546A" w:themeColor="text2"/>
          <w:sz w:val="18"/>
          <w:szCs w:val="18"/>
          <w:lang w:val="en-US"/>
        </w:rPr>
        <w:t>tertiles</w:t>
      </w:r>
      <w:proofErr w:type="spellEnd"/>
      <w:r w:rsidRPr="00670FA1">
        <w:rPr>
          <w:rFonts w:eastAsia="Cambria" w:cstheme="minorHAnsi"/>
          <w:i/>
          <w:iCs/>
          <w:color w:val="44546A" w:themeColor="text2"/>
          <w:sz w:val="18"/>
          <w:szCs w:val="18"/>
          <w:lang w:val="en-US"/>
        </w:rPr>
        <w:t xml:space="preserve"> of greenness (</w:t>
      </w:r>
      <w:proofErr w:type="gramStart"/>
      <w:r w:rsidRPr="00670FA1">
        <w:rPr>
          <w:rFonts w:eastAsia="Cambria" w:cstheme="minorHAnsi"/>
          <w:i/>
          <w:iCs/>
          <w:color w:val="44546A" w:themeColor="text2"/>
          <w:sz w:val="18"/>
          <w:szCs w:val="18"/>
          <w:lang w:val="en-US"/>
        </w:rPr>
        <w:t>i.e.</w:t>
      </w:r>
      <w:proofErr w:type="gramEnd"/>
      <w:r w:rsidRPr="00B47268">
        <w:rPr>
          <w:rFonts w:eastAsia="Cambria" w:cstheme="minorHAnsi"/>
          <w:i/>
          <w:iCs/>
          <w:color w:val="44546A" w:themeColor="text2"/>
          <w:sz w:val="18"/>
          <w:szCs w:val="18"/>
          <w:lang w:val="en-US"/>
        </w:rPr>
        <w:t xml:space="preserve"> </w:t>
      </w:r>
      <w:r w:rsidRPr="00670FA1">
        <w:rPr>
          <w:rFonts w:eastAsia="Cambria" w:cstheme="minorHAnsi"/>
          <w:i/>
          <w:iCs/>
          <w:color w:val="44546A" w:themeColor="text2"/>
          <w:sz w:val="18"/>
          <w:szCs w:val="18"/>
          <w:lang w:val="en-US"/>
        </w:rPr>
        <w:t>NDVI)</w:t>
      </w:r>
      <w:r w:rsidRPr="00B47268">
        <w:rPr>
          <w:rFonts w:eastAsia="Cambria" w:cstheme="minorHAnsi"/>
          <w:i/>
          <w:iCs/>
          <w:color w:val="44546A" w:themeColor="text2"/>
          <w:sz w:val="18"/>
          <w:szCs w:val="18"/>
          <w:lang w:val="en-US"/>
        </w:rPr>
        <w:t xml:space="preserve"> </w:t>
      </w:r>
      <w:r w:rsidRPr="00670FA1">
        <w:rPr>
          <w:rFonts w:eastAsia="Cambria" w:cstheme="minorHAnsi"/>
          <w:i/>
          <w:iCs/>
          <w:color w:val="44546A" w:themeColor="text2"/>
          <w:sz w:val="18"/>
          <w:szCs w:val="18"/>
          <w:lang w:val="en-US"/>
        </w:rPr>
        <w:t>within 500m buffer around patient’s residence.</w:t>
      </w:r>
    </w:p>
    <w:p w14:paraId="630A1C1B" w14:textId="77777777" w:rsidR="00B47268" w:rsidRPr="00670FA1" w:rsidRDefault="00B47268" w:rsidP="00B47268">
      <w:pPr>
        <w:pStyle w:val="EndnoteText"/>
        <w:rPr>
          <w:rFonts w:eastAsia="Cambria" w:cstheme="minorHAnsi"/>
          <w:color w:val="000000"/>
          <w:sz w:val="18"/>
          <w:szCs w:val="18"/>
          <w:lang w:val="en-US"/>
        </w:rPr>
      </w:pPr>
    </w:p>
    <w:tbl>
      <w:tblPr>
        <w:tblStyle w:val="TableGrid"/>
        <w:tblW w:w="5000" w:type="pct"/>
        <w:tblInd w:w="0" w:type="dxa"/>
        <w:tblCellMar>
          <w:top w:w="25" w:type="dxa"/>
          <w:right w:w="100" w:type="dxa"/>
        </w:tblCellMar>
        <w:tblLook w:val="04A0" w:firstRow="1" w:lastRow="0" w:firstColumn="1" w:lastColumn="0" w:noHBand="0" w:noVBand="1"/>
      </w:tblPr>
      <w:tblGrid>
        <w:gridCol w:w="1697"/>
        <w:gridCol w:w="660"/>
        <w:gridCol w:w="662"/>
        <w:gridCol w:w="647"/>
        <w:gridCol w:w="662"/>
        <w:gridCol w:w="663"/>
        <w:gridCol w:w="648"/>
        <w:gridCol w:w="663"/>
        <w:gridCol w:w="665"/>
        <w:gridCol w:w="650"/>
        <w:gridCol w:w="663"/>
        <w:gridCol w:w="665"/>
        <w:gridCol w:w="415"/>
      </w:tblGrid>
      <w:tr w:rsidR="00B47268" w:rsidRPr="00B47268" w14:paraId="5760FA60" w14:textId="77777777" w:rsidTr="00BB0D77">
        <w:trPr>
          <w:trHeight w:val="199"/>
        </w:trPr>
        <w:tc>
          <w:tcPr>
            <w:tcW w:w="907" w:type="pct"/>
            <w:tcBorders>
              <w:top w:val="single" w:sz="4" w:space="0" w:color="auto"/>
              <w:left w:val="nil"/>
              <w:right w:val="nil"/>
            </w:tcBorders>
          </w:tcPr>
          <w:p w14:paraId="2270B0FC" w14:textId="77777777" w:rsidR="00B47268" w:rsidRPr="00670FA1" w:rsidRDefault="00B47268" w:rsidP="00B47268">
            <w:pPr>
              <w:spacing w:after="160" w:line="259" w:lineRule="auto"/>
              <w:rPr>
                <w:rFonts w:eastAsia="Cambria" w:cstheme="minorHAnsi"/>
                <w:color w:val="000000"/>
                <w:sz w:val="18"/>
                <w:szCs w:val="18"/>
              </w:rPr>
            </w:pPr>
          </w:p>
        </w:tc>
        <w:tc>
          <w:tcPr>
            <w:tcW w:w="1052" w:type="pct"/>
            <w:gridSpan w:val="3"/>
            <w:tcBorders>
              <w:top w:val="single" w:sz="4" w:space="0" w:color="auto"/>
              <w:left w:val="nil"/>
              <w:bottom w:val="single" w:sz="4" w:space="0" w:color="auto"/>
              <w:right w:val="nil"/>
            </w:tcBorders>
          </w:tcPr>
          <w:p w14:paraId="58427B41" w14:textId="77777777" w:rsidR="00B47268" w:rsidRPr="00670FA1" w:rsidRDefault="00B47268" w:rsidP="00B47268">
            <w:pPr>
              <w:spacing w:line="259" w:lineRule="auto"/>
              <w:ind w:left="61"/>
              <w:rPr>
                <w:rFonts w:eastAsia="Cambria" w:cstheme="minorHAnsi"/>
                <w:b/>
                <w:color w:val="000000"/>
                <w:sz w:val="18"/>
                <w:szCs w:val="18"/>
              </w:rPr>
            </w:pPr>
            <w:r w:rsidRPr="00670FA1">
              <w:rPr>
                <w:rFonts w:eastAsia="Cambria" w:cstheme="minorHAnsi"/>
                <w:b/>
                <w:color w:val="000000"/>
                <w:sz w:val="18"/>
                <w:szCs w:val="18"/>
              </w:rPr>
              <w:t>Full cohort (range 0.008 to 0.850)</w:t>
            </w:r>
          </w:p>
        </w:tc>
        <w:tc>
          <w:tcPr>
            <w:tcW w:w="1054" w:type="pct"/>
            <w:gridSpan w:val="3"/>
            <w:tcBorders>
              <w:top w:val="single" w:sz="4" w:space="0" w:color="auto"/>
              <w:left w:val="nil"/>
              <w:bottom w:val="single" w:sz="4" w:space="0" w:color="auto"/>
              <w:right w:val="nil"/>
            </w:tcBorders>
          </w:tcPr>
          <w:p w14:paraId="097F3FF0" w14:textId="77777777" w:rsidR="00B47268" w:rsidRPr="00670FA1" w:rsidRDefault="00B47268" w:rsidP="00B47268">
            <w:pPr>
              <w:spacing w:line="259" w:lineRule="auto"/>
              <w:ind w:left="61"/>
              <w:rPr>
                <w:rFonts w:eastAsia="Cambria" w:cstheme="minorHAnsi"/>
                <w:b/>
                <w:color w:val="000000"/>
                <w:sz w:val="18"/>
                <w:szCs w:val="18"/>
              </w:rPr>
            </w:pPr>
            <w:proofErr w:type="spellStart"/>
            <w:r w:rsidRPr="00670FA1">
              <w:rPr>
                <w:rFonts w:eastAsia="Cambria" w:cstheme="minorHAnsi"/>
                <w:b/>
                <w:color w:val="000000"/>
                <w:sz w:val="18"/>
                <w:szCs w:val="18"/>
              </w:rPr>
              <w:t>Tertile</w:t>
            </w:r>
            <w:proofErr w:type="spellEnd"/>
            <w:r w:rsidRPr="00670FA1">
              <w:rPr>
                <w:rFonts w:eastAsia="Cambria" w:cstheme="minorHAnsi"/>
                <w:b/>
                <w:color w:val="000000"/>
                <w:sz w:val="18"/>
                <w:szCs w:val="18"/>
              </w:rPr>
              <w:t xml:space="preserve"> 1 (range 0.008 to 0.275)</w:t>
            </w:r>
          </w:p>
        </w:tc>
        <w:tc>
          <w:tcPr>
            <w:tcW w:w="1056" w:type="pct"/>
            <w:gridSpan w:val="3"/>
            <w:tcBorders>
              <w:top w:val="single" w:sz="4" w:space="0" w:color="auto"/>
              <w:left w:val="nil"/>
              <w:bottom w:val="single" w:sz="4" w:space="0" w:color="auto"/>
              <w:right w:val="nil"/>
            </w:tcBorders>
          </w:tcPr>
          <w:p w14:paraId="71C48D10" w14:textId="77777777" w:rsidR="00B47268" w:rsidRPr="00670FA1" w:rsidRDefault="00B47268" w:rsidP="00B47268">
            <w:pPr>
              <w:spacing w:line="259" w:lineRule="auto"/>
              <w:ind w:left="61"/>
              <w:rPr>
                <w:rFonts w:eastAsia="Cambria" w:cstheme="minorHAnsi"/>
                <w:b/>
                <w:color w:val="000000"/>
                <w:sz w:val="18"/>
                <w:szCs w:val="18"/>
              </w:rPr>
            </w:pPr>
            <w:proofErr w:type="spellStart"/>
            <w:r w:rsidRPr="00670FA1">
              <w:rPr>
                <w:rFonts w:eastAsia="Cambria" w:cstheme="minorHAnsi"/>
                <w:b/>
                <w:color w:val="000000"/>
                <w:sz w:val="18"/>
                <w:szCs w:val="18"/>
              </w:rPr>
              <w:t>Tertile</w:t>
            </w:r>
            <w:proofErr w:type="spellEnd"/>
            <w:r w:rsidRPr="00670FA1">
              <w:rPr>
                <w:rFonts w:eastAsia="Cambria" w:cstheme="minorHAnsi"/>
                <w:b/>
                <w:color w:val="000000"/>
                <w:sz w:val="18"/>
                <w:szCs w:val="18"/>
              </w:rPr>
              <w:t xml:space="preserve"> 2 (range 0.276 to 0.408)</w:t>
            </w:r>
          </w:p>
        </w:tc>
        <w:tc>
          <w:tcPr>
            <w:tcW w:w="932" w:type="pct"/>
            <w:gridSpan w:val="3"/>
            <w:tcBorders>
              <w:top w:val="single" w:sz="4" w:space="0" w:color="auto"/>
              <w:left w:val="nil"/>
              <w:bottom w:val="single" w:sz="4" w:space="0" w:color="auto"/>
              <w:right w:val="nil"/>
            </w:tcBorders>
          </w:tcPr>
          <w:p w14:paraId="1C648577" w14:textId="77777777" w:rsidR="00B47268" w:rsidRPr="00670FA1" w:rsidRDefault="00B47268" w:rsidP="00B47268">
            <w:pPr>
              <w:tabs>
                <w:tab w:val="center" w:pos="5040"/>
                <w:tab w:val="center" w:pos="7070"/>
                <w:tab w:val="center" w:pos="9204"/>
                <w:tab w:val="center" w:pos="11338"/>
              </w:tabs>
              <w:spacing w:line="259" w:lineRule="auto"/>
              <w:rPr>
                <w:rFonts w:eastAsia="Cambria" w:cstheme="minorHAnsi"/>
                <w:color w:val="000000"/>
                <w:sz w:val="18"/>
                <w:szCs w:val="18"/>
              </w:rPr>
            </w:pPr>
            <w:proofErr w:type="spellStart"/>
            <w:r w:rsidRPr="00670FA1">
              <w:rPr>
                <w:rFonts w:eastAsia="Cambria" w:cstheme="minorHAnsi"/>
                <w:b/>
                <w:color w:val="000000"/>
                <w:sz w:val="18"/>
                <w:szCs w:val="18"/>
              </w:rPr>
              <w:t>Tertile</w:t>
            </w:r>
            <w:proofErr w:type="spellEnd"/>
            <w:r w:rsidRPr="00670FA1">
              <w:rPr>
                <w:rFonts w:eastAsia="Cambria" w:cstheme="minorHAnsi"/>
                <w:b/>
                <w:color w:val="000000"/>
                <w:sz w:val="18"/>
                <w:szCs w:val="18"/>
              </w:rPr>
              <w:t xml:space="preserve"> 3 (range 0.409 to 0.850)</w:t>
            </w:r>
          </w:p>
        </w:tc>
      </w:tr>
      <w:tr w:rsidR="00B47268" w:rsidRPr="00B47268" w14:paraId="1CADD0E2" w14:textId="77777777" w:rsidTr="00BB0D77">
        <w:trPr>
          <w:trHeight w:val="199"/>
        </w:trPr>
        <w:tc>
          <w:tcPr>
            <w:tcW w:w="907" w:type="pct"/>
            <w:tcBorders>
              <w:left w:val="nil"/>
              <w:bottom w:val="single" w:sz="3" w:space="0" w:color="000000"/>
              <w:right w:val="nil"/>
            </w:tcBorders>
          </w:tcPr>
          <w:p w14:paraId="3E720E0A" w14:textId="77777777" w:rsidR="00B47268" w:rsidRPr="00670FA1" w:rsidRDefault="00B47268" w:rsidP="00B47268">
            <w:pPr>
              <w:spacing w:after="160" w:line="259" w:lineRule="auto"/>
              <w:rPr>
                <w:rFonts w:eastAsia="Cambria" w:cstheme="minorHAnsi"/>
                <w:color w:val="000000"/>
                <w:sz w:val="18"/>
                <w:szCs w:val="18"/>
              </w:rPr>
            </w:pPr>
          </w:p>
        </w:tc>
        <w:tc>
          <w:tcPr>
            <w:tcW w:w="353" w:type="pct"/>
            <w:tcBorders>
              <w:top w:val="single" w:sz="4" w:space="0" w:color="auto"/>
              <w:left w:val="nil"/>
              <w:bottom w:val="single" w:sz="4" w:space="0" w:color="000000"/>
              <w:right w:val="nil"/>
            </w:tcBorders>
            <w:vAlign w:val="center"/>
          </w:tcPr>
          <w:p w14:paraId="38917551" w14:textId="77777777" w:rsidR="00B47268" w:rsidRPr="00670FA1" w:rsidRDefault="00B47268" w:rsidP="00B47268">
            <w:pPr>
              <w:spacing w:line="259" w:lineRule="auto"/>
              <w:jc w:val="center"/>
              <w:rPr>
                <w:rFonts w:eastAsia="Cambria" w:cstheme="minorHAnsi"/>
                <w:color w:val="000000"/>
                <w:sz w:val="18"/>
                <w:szCs w:val="18"/>
              </w:rPr>
            </w:pPr>
            <w:r w:rsidRPr="00670FA1">
              <w:rPr>
                <w:rFonts w:eastAsia="Cambria" w:cstheme="minorHAnsi"/>
                <w:b/>
                <w:color w:val="000000"/>
                <w:sz w:val="18"/>
                <w:szCs w:val="18"/>
              </w:rPr>
              <w:t>NDVI</w:t>
            </w:r>
          </w:p>
        </w:tc>
        <w:tc>
          <w:tcPr>
            <w:tcW w:w="354" w:type="pct"/>
            <w:tcBorders>
              <w:top w:val="single" w:sz="4" w:space="0" w:color="auto"/>
              <w:left w:val="nil"/>
              <w:bottom w:val="single" w:sz="4" w:space="0" w:color="000000"/>
              <w:right w:val="nil"/>
            </w:tcBorders>
            <w:vAlign w:val="center"/>
          </w:tcPr>
          <w:p w14:paraId="3F4E7C8B" w14:textId="77777777" w:rsidR="00B47268" w:rsidRPr="00670FA1" w:rsidRDefault="00B47268" w:rsidP="00B47268">
            <w:pPr>
              <w:spacing w:line="259" w:lineRule="auto"/>
              <w:jc w:val="center"/>
              <w:rPr>
                <w:rFonts w:eastAsia="Cambria" w:cstheme="minorHAnsi"/>
                <w:color w:val="000000"/>
                <w:sz w:val="18"/>
                <w:szCs w:val="18"/>
              </w:rPr>
            </w:pPr>
            <w:r w:rsidRPr="00670FA1">
              <w:rPr>
                <w:rFonts w:eastAsia="Cambria" w:cstheme="minorHAnsi"/>
                <w:b/>
                <w:color w:val="000000"/>
                <w:sz w:val="18"/>
                <w:szCs w:val="18"/>
              </w:rPr>
              <w:t>PM</w:t>
            </w:r>
            <w:r w:rsidRPr="00670FA1">
              <w:rPr>
                <w:rFonts w:eastAsia="Cambria" w:cstheme="minorHAnsi"/>
                <w:color w:val="000000"/>
                <w:sz w:val="18"/>
                <w:szCs w:val="18"/>
                <w:vertAlign w:val="subscript"/>
              </w:rPr>
              <w:t>2</w:t>
            </w:r>
            <w:r w:rsidRPr="00B47268">
              <w:rPr>
                <w:rFonts w:eastAsia="Cambria" w:cstheme="minorHAnsi"/>
                <w:color w:val="000000"/>
                <w:sz w:val="18"/>
                <w:szCs w:val="18"/>
                <w:vertAlign w:val="subscript"/>
              </w:rPr>
              <w:t>.5</w:t>
            </w:r>
          </w:p>
        </w:tc>
        <w:tc>
          <w:tcPr>
            <w:tcW w:w="346" w:type="pct"/>
            <w:tcBorders>
              <w:top w:val="single" w:sz="4" w:space="0" w:color="auto"/>
              <w:left w:val="nil"/>
              <w:bottom w:val="single" w:sz="4" w:space="0" w:color="000000"/>
              <w:right w:val="nil"/>
            </w:tcBorders>
            <w:vAlign w:val="center"/>
          </w:tcPr>
          <w:p w14:paraId="410CAB5A" w14:textId="77777777" w:rsidR="00B47268" w:rsidRPr="00670FA1" w:rsidRDefault="00B47268" w:rsidP="00B47268">
            <w:pPr>
              <w:spacing w:line="259" w:lineRule="auto"/>
              <w:ind w:left="61"/>
              <w:jc w:val="center"/>
              <w:rPr>
                <w:rFonts w:eastAsia="Cambria" w:cstheme="minorHAnsi"/>
                <w:color w:val="000000"/>
                <w:sz w:val="18"/>
                <w:szCs w:val="18"/>
              </w:rPr>
            </w:pPr>
            <w:r w:rsidRPr="00670FA1">
              <w:rPr>
                <w:rFonts w:eastAsia="Cambria" w:cstheme="minorHAnsi"/>
                <w:b/>
                <w:color w:val="000000"/>
                <w:sz w:val="18"/>
                <w:szCs w:val="18"/>
              </w:rPr>
              <w:t>O</w:t>
            </w:r>
            <w:r w:rsidRPr="00670FA1">
              <w:rPr>
                <w:rFonts w:eastAsia="Cambria" w:cstheme="minorHAnsi"/>
                <w:i/>
                <w:color w:val="000000"/>
                <w:sz w:val="18"/>
                <w:szCs w:val="18"/>
                <w:vertAlign w:val="subscript"/>
              </w:rPr>
              <w:t>x</w:t>
            </w:r>
          </w:p>
        </w:tc>
        <w:tc>
          <w:tcPr>
            <w:tcW w:w="354" w:type="pct"/>
            <w:tcBorders>
              <w:top w:val="single" w:sz="4" w:space="0" w:color="auto"/>
              <w:left w:val="nil"/>
              <w:bottom w:val="single" w:sz="4" w:space="0" w:color="000000"/>
              <w:right w:val="nil"/>
            </w:tcBorders>
            <w:vAlign w:val="center"/>
          </w:tcPr>
          <w:p w14:paraId="1E1660C8" w14:textId="77777777" w:rsidR="00B47268" w:rsidRPr="00670FA1" w:rsidRDefault="00B47268" w:rsidP="00B47268">
            <w:pPr>
              <w:spacing w:line="259" w:lineRule="auto"/>
              <w:jc w:val="center"/>
              <w:rPr>
                <w:rFonts w:eastAsia="Cambria" w:cstheme="minorHAnsi"/>
                <w:color w:val="000000"/>
                <w:sz w:val="18"/>
                <w:szCs w:val="18"/>
              </w:rPr>
            </w:pPr>
            <w:r w:rsidRPr="00670FA1">
              <w:rPr>
                <w:rFonts w:eastAsia="Cambria" w:cstheme="minorHAnsi"/>
                <w:b/>
                <w:color w:val="000000"/>
                <w:sz w:val="18"/>
                <w:szCs w:val="18"/>
              </w:rPr>
              <w:t>NDVI</w:t>
            </w:r>
          </w:p>
        </w:tc>
        <w:tc>
          <w:tcPr>
            <w:tcW w:w="354" w:type="pct"/>
            <w:tcBorders>
              <w:top w:val="single" w:sz="4" w:space="0" w:color="auto"/>
              <w:left w:val="nil"/>
              <w:bottom w:val="single" w:sz="4" w:space="0" w:color="000000"/>
              <w:right w:val="nil"/>
            </w:tcBorders>
            <w:vAlign w:val="center"/>
          </w:tcPr>
          <w:p w14:paraId="5B8B9E43" w14:textId="77777777" w:rsidR="00B47268" w:rsidRPr="00670FA1" w:rsidRDefault="00B47268" w:rsidP="00B47268">
            <w:pPr>
              <w:spacing w:line="259" w:lineRule="auto"/>
              <w:jc w:val="center"/>
              <w:rPr>
                <w:rFonts w:eastAsia="Cambria" w:cstheme="minorHAnsi"/>
                <w:color w:val="000000"/>
                <w:sz w:val="18"/>
                <w:szCs w:val="18"/>
              </w:rPr>
            </w:pPr>
            <w:r w:rsidRPr="00670FA1">
              <w:rPr>
                <w:rFonts w:eastAsia="Cambria" w:cstheme="minorHAnsi"/>
                <w:b/>
                <w:color w:val="000000"/>
                <w:sz w:val="18"/>
                <w:szCs w:val="18"/>
              </w:rPr>
              <w:t>PM</w:t>
            </w:r>
            <w:r w:rsidRPr="00670FA1">
              <w:rPr>
                <w:rFonts w:eastAsia="Cambria" w:cstheme="minorHAnsi"/>
                <w:color w:val="000000"/>
                <w:sz w:val="18"/>
                <w:szCs w:val="18"/>
                <w:vertAlign w:val="subscript"/>
              </w:rPr>
              <w:t>2</w:t>
            </w:r>
            <w:r w:rsidRPr="00B47268">
              <w:rPr>
                <w:rFonts w:eastAsia="Cambria" w:cstheme="minorHAnsi"/>
                <w:color w:val="000000"/>
                <w:sz w:val="18"/>
                <w:szCs w:val="18"/>
                <w:vertAlign w:val="subscript"/>
              </w:rPr>
              <w:t>.5</w:t>
            </w:r>
          </w:p>
        </w:tc>
        <w:tc>
          <w:tcPr>
            <w:tcW w:w="346" w:type="pct"/>
            <w:tcBorders>
              <w:top w:val="single" w:sz="4" w:space="0" w:color="auto"/>
              <w:left w:val="nil"/>
              <w:bottom w:val="single" w:sz="4" w:space="0" w:color="000000"/>
              <w:right w:val="nil"/>
            </w:tcBorders>
            <w:vAlign w:val="center"/>
          </w:tcPr>
          <w:p w14:paraId="164366BB" w14:textId="77777777" w:rsidR="00B47268" w:rsidRPr="00670FA1" w:rsidRDefault="00B47268" w:rsidP="00B47268">
            <w:pPr>
              <w:spacing w:line="259" w:lineRule="auto"/>
              <w:ind w:left="61"/>
              <w:jc w:val="center"/>
              <w:rPr>
                <w:rFonts w:eastAsia="Cambria" w:cstheme="minorHAnsi"/>
                <w:color w:val="000000"/>
                <w:sz w:val="18"/>
                <w:szCs w:val="18"/>
              </w:rPr>
            </w:pPr>
            <w:r w:rsidRPr="00670FA1">
              <w:rPr>
                <w:rFonts w:eastAsia="Cambria" w:cstheme="minorHAnsi"/>
                <w:b/>
                <w:color w:val="000000"/>
                <w:sz w:val="18"/>
                <w:szCs w:val="18"/>
              </w:rPr>
              <w:t>O</w:t>
            </w:r>
            <w:r w:rsidRPr="00670FA1">
              <w:rPr>
                <w:rFonts w:eastAsia="Cambria" w:cstheme="minorHAnsi"/>
                <w:i/>
                <w:color w:val="000000"/>
                <w:sz w:val="18"/>
                <w:szCs w:val="18"/>
                <w:vertAlign w:val="subscript"/>
              </w:rPr>
              <w:t>x</w:t>
            </w:r>
          </w:p>
        </w:tc>
        <w:tc>
          <w:tcPr>
            <w:tcW w:w="354" w:type="pct"/>
            <w:tcBorders>
              <w:top w:val="single" w:sz="4" w:space="0" w:color="auto"/>
              <w:left w:val="nil"/>
              <w:bottom w:val="single" w:sz="4" w:space="0" w:color="000000"/>
              <w:right w:val="nil"/>
            </w:tcBorders>
            <w:vAlign w:val="center"/>
          </w:tcPr>
          <w:p w14:paraId="32C8C71C" w14:textId="77777777" w:rsidR="00B47268" w:rsidRPr="00670FA1" w:rsidRDefault="00B47268" w:rsidP="00B47268">
            <w:pPr>
              <w:spacing w:line="259" w:lineRule="auto"/>
              <w:jc w:val="center"/>
              <w:rPr>
                <w:rFonts w:eastAsia="Cambria" w:cstheme="minorHAnsi"/>
                <w:color w:val="000000"/>
                <w:sz w:val="18"/>
                <w:szCs w:val="18"/>
              </w:rPr>
            </w:pPr>
            <w:r w:rsidRPr="00670FA1">
              <w:rPr>
                <w:rFonts w:eastAsia="Cambria" w:cstheme="minorHAnsi"/>
                <w:b/>
                <w:color w:val="000000"/>
                <w:sz w:val="18"/>
                <w:szCs w:val="18"/>
              </w:rPr>
              <w:t>NDVI</w:t>
            </w:r>
          </w:p>
        </w:tc>
        <w:tc>
          <w:tcPr>
            <w:tcW w:w="355" w:type="pct"/>
            <w:tcBorders>
              <w:top w:val="single" w:sz="4" w:space="0" w:color="auto"/>
              <w:left w:val="nil"/>
              <w:bottom w:val="single" w:sz="4" w:space="0" w:color="000000"/>
              <w:right w:val="nil"/>
            </w:tcBorders>
            <w:vAlign w:val="center"/>
          </w:tcPr>
          <w:p w14:paraId="5B8B5955" w14:textId="77777777" w:rsidR="00B47268" w:rsidRPr="00670FA1" w:rsidRDefault="00B47268" w:rsidP="00B47268">
            <w:pPr>
              <w:spacing w:line="259" w:lineRule="auto"/>
              <w:jc w:val="center"/>
              <w:rPr>
                <w:rFonts w:eastAsia="Cambria" w:cstheme="minorHAnsi"/>
                <w:color w:val="000000"/>
                <w:sz w:val="18"/>
                <w:szCs w:val="18"/>
              </w:rPr>
            </w:pPr>
            <w:r w:rsidRPr="00670FA1">
              <w:rPr>
                <w:rFonts w:eastAsia="Cambria" w:cstheme="minorHAnsi"/>
                <w:b/>
                <w:color w:val="000000"/>
                <w:sz w:val="18"/>
                <w:szCs w:val="18"/>
              </w:rPr>
              <w:t>PM</w:t>
            </w:r>
            <w:r w:rsidRPr="00670FA1">
              <w:rPr>
                <w:rFonts w:eastAsia="Cambria" w:cstheme="minorHAnsi"/>
                <w:color w:val="000000"/>
                <w:sz w:val="18"/>
                <w:szCs w:val="18"/>
                <w:vertAlign w:val="subscript"/>
              </w:rPr>
              <w:t>2</w:t>
            </w:r>
            <w:r w:rsidRPr="00B47268">
              <w:rPr>
                <w:rFonts w:eastAsia="Cambria" w:cstheme="minorHAnsi"/>
                <w:color w:val="000000"/>
                <w:sz w:val="18"/>
                <w:szCs w:val="18"/>
                <w:vertAlign w:val="subscript"/>
              </w:rPr>
              <w:t>.5</w:t>
            </w:r>
          </w:p>
        </w:tc>
        <w:tc>
          <w:tcPr>
            <w:tcW w:w="346" w:type="pct"/>
            <w:tcBorders>
              <w:top w:val="single" w:sz="4" w:space="0" w:color="auto"/>
              <w:left w:val="nil"/>
              <w:bottom w:val="single" w:sz="4" w:space="0" w:color="000000"/>
              <w:right w:val="nil"/>
            </w:tcBorders>
            <w:vAlign w:val="center"/>
          </w:tcPr>
          <w:p w14:paraId="0BEEFBC2" w14:textId="77777777" w:rsidR="00B47268" w:rsidRPr="00670FA1" w:rsidRDefault="00B47268" w:rsidP="00B47268">
            <w:pPr>
              <w:spacing w:line="259" w:lineRule="auto"/>
              <w:ind w:left="61"/>
              <w:jc w:val="center"/>
              <w:rPr>
                <w:rFonts w:eastAsia="Cambria" w:cstheme="minorHAnsi"/>
                <w:color w:val="000000"/>
                <w:sz w:val="18"/>
                <w:szCs w:val="18"/>
              </w:rPr>
            </w:pPr>
            <w:r w:rsidRPr="00670FA1">
              <w:rPr>
                <w:rFonts w:eastAsia="Cambria" w:cstheme="minorHAnsi"/>
                <w:b/>
                <w:color w:val="000000"/>
                <w:sz w:val="18"/>
                <w:szCs w:val="18"/>
              </w:rPr>
              <w:t>O</w:t>
            </w:r>
            <w:r w:rsidRPr="00670FA1">
              <w:rPr>
                <w:rFonts w:eastAsia="Cambria" w:cstheme="minorHAnsi"/>
                <w:i/>
                <w:color w:val="000000"/>
                <w:sz w:val="18"/>
                <w:szCs w:val="18"/>
                <w:vertAlign w:val="subscript"/>
              </w:rPr>
              <w:t>x</w:t>
            </w:r>
          </w:p>
        </w:tc>
        <w:tc>
          <w:tcPr>
            <w:tcW w:w="354" w:type="pct"/>
            <w:tcBorders>
              <w:top w:val="single" w:sz="4" w:space="0" w:color="auto"/>
              <w:left w:val="nil"/>
              <w:bottom w:val="single" w:sz="4" w:space="0" w:color="000000"/>
              <w:right w:val="nil"/>
            </w:tcBorders>
            <w:vAlign w:val="center"/>
          </w:tcPr>
          <w:p w14:paraId="6A3CE7D6" w14:textId="77777777" w:rsidR="00B47268" w:rsidRPr="00670FA1" w:rsidRDefault="00B47268" w:rsidP="00B47268">
            <w:pPr>
              <w:spacing w:line="259" w:lineRule="auto"/>
              <w:jc w:val="center"/>
              <w:rPr>
                <w:rFonts w:eastAsia="Cambria" w:cstheme="minorHAnsi"/>
                <w:color w:val="000000"/>
                <w:sz w:val="18"/>
                <w:szCs w:val="18"/>
              </w:rPr>
            </w:pPr>
            <w:r w:rsidRPr="00670FA1">
              <w:rPr>
                <w:rFonts w:eastAsia="Cambria" w:cstheme="minorHAnsi"/>
                <w:b/>
                <w:color w:val="000000"/>
                <w:sz w:val="18"/>
                <w:szCs w:val="18"/>
              </w:rPr>
              <w:t>NDVI</w:t>
            </w:r>
          </w:p>
        </w:tc>
        <w:tc>
          <w:tcPr>
            <w:tcW w:w="355" w:type="pct"/>
            <w:tcBorders>
              <w:top w:val="single" w:sz="4" w:space="0" w:color="auto"/>
              <w:left w:val="nil"/>
              <w:bottom w:val="single" w:sz="4" w:space="0" w:color="000000"/>
              <w:right w:val="nil"/>
            </w:tcBorders>
            <w:vAlign w:val="center"/>
          </w:tcPr>
          <w:p w14:paraId="3D96FCF2" w14:textId="77777777" w:rsidR="00B47268" w:rsidRPr="00670FA1" w:rsidRDefault="00B47268" w:rsidP="00B47268">
            <w:pPr>
              <w:spacing w:line="259" w:lineRule="auto"/>
              <w:jc w:val="center"/>
              <w:rPr>
                <w:rFonts w:eastAsia="Cambria" w:cstheme="minorHAnsi"/>
                <w:color w:val="000000"/>
                <w:sz w:val="18"/>
                <w:szCs w:val="18"/>
              </w:rPr>
            </w:pPr>
            <w:r w:rsidRPr="00670FA1">
              <w:rPr>
                <w:rFonts w:eastAsia="Cambria" w:cstheme="minorHAnsi"/>
                <w:b/>
                <w:color w:val="000000"/>
                <w:sz w:val="18"/>
                <w:szCs w:val="18"/>
              </w:rPr>
              <w:t>PM</w:t>
            </w:r>
            <w:r w:rsidRPr="00670FA1">
              <w:rPr>
                <w:rFonts w:eastAsia="Cambria" w:cstheme="minorHAnsi"/>
                <w:color w:val="000000"/>
                <w:sz w:val="18"/>
                <w:szCs w:val="18"/>
                <w:vertAlign w:val="subscript"/>
              </w:rPr>
              <w:t>2</w:t>
            </w:r>
            <w:r w:rsidRPr="00B47268">
              <w:rPr>
                <w:rFonts w:eastAsia="Cambria" w:cstheme="minorHAnsi"/>
                <w:color w:val="000000"/>
                <w:sz w:val="18"/>
                <w:szCs w:val="18"/>
                <w:vertAlign w:val="subscript"/>
              </w:rPr>
              <w:t>.5</w:t>
            </w:r>
          </w:p>
        </w:tc>
        <w:tc>
          <w:tcPr>
            <w:tcW w:w="222" w:type="pct"/>
            <w:tcBorders>
              <w:top w:val="single" w:sz="4" w:space="0" w:color="auto"/>
              <w:left w:val="nil"/>
              <w:bottom w:val="single" w:sz="4" w:space="0" w:color="000000"/>
              <w:right w:val="nil"/>
            </w:tcBorders>
            <w:vAlign w:val="center"/>
          </w:tcPr>
          <w:p w14:paraId="6472A196" w14:textId="77777777" w:rsidR="00B47268" w:rsidRPr="00670FA1" w:rsidRDefault="00B47268" w:rsidP="00B47268">
            <w:pPr>
              <w:spacing w:line="259" w:lineRule="auto"/>
              <w:ind w:left="61"/>
              <w:jc w:val="center"/>
              <w:rPr>
                <w:rFonts w:eastAsia="Cambria" w:cstheme="minorHAnsi"/>
                <w:color w:val="000000"/>
                <w:sz w:val="18"/>
                <w:szCs w:val="18"/>
              </w:rPr>
            </w:pPr>
            <w:r w:rsidRPr="00670FA1">
              <w:rPr>
                <w:rFonts w:eastAsia="Cambria" w:cstheme="minorHAnsi"/>
                <w:b/>
                <w:color w:val="000000"/>
                <w:sz w:val="18"/>
                <w:szCs w:val="18"/>
              </w:rPr>
              <w:t>O</w:t>
            </w:r>
            <w:r w:rsidRPr="00670FA1">
              <w:rPr>
                <w:rFonts w:eastAsia="Cambria" w:cstheme="minorHAnsi"/>
                <w:i/>
                <w:color w:val="000000"/>
                <w:sz w:val="18"/>
                <w:szCs w:val="18"/>
                <w:vertAlign w:val="subscript"/>
              </w:rPr>
              <w:t>x</w:t>
            </w:r>
          </w:p>
        </w:tc>
      </w:tr>
      <w:tr w:rsidR="00B47268" w:rsidRPr="00B47268" w14:paraId="4CEEB034" w14:textId="77777777" w:rsidTr="00BB0D77">
        <w:trPr>
          <w:trHeight w:val="203"/>
        </w:trPr>
        <w:tc>
          <w:tcPr>
            <w:tcW w:w="907" w:type="pct"/>
            <w:tcBorders>
              <w:top w:val="single" w:sz="3" w:space="0" w:color="000000"/>
              <w:left w:val="nil"/>
              <w:bottom w:val="nil"/>
              <w:right w:val="nil"/>
            </w:tcBorders>
          </w:tcPr>
          <w:p w14:paraId="53333C53" w14:textId="77777777" w:rsidR="00B47268" w:rsidRPr="00670FA1" w:rsidRDefault="00B47268" w:rsidP="00B47268">
            <w:pPr>
              <w:spacing w:line="259" w:lineRule="auto"/>
              <w:ind w:left="100"/>
              <w:rPr>
                <w:rFonts w:eastAsia="Cambria" w:cstheme="minorHAnsi"/>
                <w:color w:val="000000"/>
                <w:sz w:val="18"/>
                <w:szCs w:val="18"/>
              </w:rPr>
            </w:pPr>
            <w:r w:rsidRPr="00670FA1">
              <w:rPr>
                <w:rFonts w:eastAsia="Cambria" w:cstheme="minorHAnsi"/>
                <w:b/>
                <w:color w:val="000000"/>
                <w:sz w:val="18"/>
                <w:szCs w:val="18"/>
              </w:rPr>
              <w:t>Mean</w:t>
            </w:r>
          </w:p>
        </w:tc>
        <w:tc>
          <w:tcPr>
            <w:tcW w:w="353" w:type="pct"/>
            <w:tcBorders>
              <w:top w:val="single" w:sz="4" w:space="0" w:color="000000"/>
              <w:left w:val="nil"/>
              <w:bottom w:val="nil"/>
              <w:right w:val="nil"/>
            </w:tcBorders>
          </w:tcPr>
          <w:p w14:paraId="6F9E2E44"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0.39</w:t>
            </w:r>
          </w:p>
        </w:tc>
        <w:tc>
          <w:tcPr>
            <w:tcW w:w="354" w:type="pct"/>
            <w:tcBorders>
              <w:top w:val="single" w:sz="4" w:space="0" w:color="000000"/>
              <w:left w:val="nil"/>
              <w:bottom w:val="nil"/>
              <w:right w:val="nil"/>
            </w:tcBorders>
          </w:tcPr>
          <w:p w14:paraId="2261D90C"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44.6</w:t>
            </w:r>
          </w:p>
        </w:tc>
        <w:tc>
          <w:tcPr>
            <w:tcW w:w="346" w:type="pct"/>
            <w:tcBorders>
              <w:top w:val="single" w:sz="4" w:space="0" w:color="000000"/>
              <w:left w:val="nil"/>
              <w:bottom w:val="nil"/>
              <w:right w:val="nil"/>
            </w:tcBorders>
          </w:tcPr>
          <w:p w14:paraId="1ED05C08"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76.8</w:t>
            </w:r>
          </w:p>
        </w:tc>
        <w:tc>
          <w:tcPr>
            <w:tcW w:w="354" w:type="pct"/>
            <w:tcBorders>
              <w:top w:val="single" w:sz="4" w:space="0" w:color="000000"/>
              <w:left w:val="nil"/>
              <w:bottom w:val="nil"/>
              <w:right w:val="nil"/>
            </w:tcBorders>
          </w:tcPr>
          <w:p w14:paraId="3A675B00"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0.22</w:t>
            </w:r>
          </w:p>
        </w:tc>
        <w:tc>
          <w:tcPr>
            <w:tcW w:w="354" w:type="pct"/>
            <w:tcBorders>
              <w:top w:val="single" w:sz="4" w:space="0" w:color="000000"/>
              <w:left w:val="nil"/>
              <w:bottom w:val="nil"/>
              <w:right w:val="nil"/>
            </w:tcBorders>
          </w:tcPr>
          <w:p w14:paraId="2A1ADC67"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48.4</w:t>
            </w:r>
          </w:p>
        </w:tc>
        <w:tc>
          <w:tcPr>
            <w:tcW w:w="346" w:type="pct"/>
            <w:tcBorders>
              <w:top w:val="single" w:sz="4" w:space="0" w:color="000000"/>
              <w:left w:val="nil"/>
              <w:bottom w:val="nil"/>
              <w:right w:val="nil"/>
            </w:tcBorders>
          </w:tcPr>
          <w:p w14:paraId="6386273E"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78.3</w:t>
            </w:r>
          </w:p>
        </w:tc>
        <w:tc>
          <w:tcPr>
            <w:tcW w:w="354" w:type="pct"/>
            <w:tcBorders>
              <w:top w:val="single" w:sz="4" w:space="0" w:color="000000"/>
              <w:left w:val="nil"/>
              <w:bottom w:val="nil"/>
              <w:right w:val="nil"/>
            </w:tcBorders>
          </w:tcPr>
          <w:p w14:paraId="2C9C6ED5"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0.33</w:t>
            </w:r>
          </w:p>
        </w:tc>
        <w:tc>
          <w:tcPr>
            <w:tcW w:w="355" w:type="pct"/>
            <w:tcBorders>
              <w:top w:val="single" w:sz="4" w:space="0" w:color="000000"/>
              <w:left w:val="nil"/>
              <w:bottom w:val="nil"/>
              <w:right w:val="nil"/>
            </w:tcBorders>
          </w:tcPr>
          <w:p w14:paraId="0854BE25"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45.4</w:t>
            </w:r>
          </w:p>
        </w:tc>
        <w:tc>
          <w:tcPr>
            <w:tcW w:w="346" w:type="pct"/>
            <w:tcBorders>
              <w:top w:val="single" w:sz="4" w:space="0" w:color="000000"/>
              <w:left w:val="nil"/>
              <w:bottom w:val="nil"/>
              <w:right w:val="nil"/>
            </w:tcBorders>
          </w:tcPr>
          <w:p w14:paraId="360F3FF9"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77.4</w:t>
            </w:r>
          </w:p>
        </w:tc>
        <w:tc>
          <w:tcPr>
            <w:tcW w:w="354" w:type="pct"/>
            <w:tcBorders>
              <w:top w:val="single" w:sz="4" w:space="0" w:color="000000"/>
              <w:left w:val="nil"/>
              <w:bottom w:val="nil"/>
              <w:right w:val="nil"/>
            </w:tcBorders>
          </w:tcPr>
          <w:p w14:paraId="02160595"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0.55</w:t>
            </w:r>
          </w:p>
        </w:tc>
        <w:tc>
          <w:tcPr>
            <w:tcW w:w="355" w:type="pct"/>
            <w:tcBorders>
              <w:top w:val="single" w:sz="4" w:space="0" w:color="000000"/>
              <w:left w:val="nil"/>
              <w:bottom w:val="nil"/>
              <w:right w:val="nil"/>
            </w:tcBorders>
          </w:tcPr>
          <w:p w14:paraId="21E0DB9B"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41.2</w:t>
            </w:r>
          </w:p>
        </w:tc>
        <w:tc>
          <w:tcPr>
            <w:tcW w:w="222" w:type="pct"/>
            <w:tcBorders>
              <w:top w:val="single" w:sz="4" w:space="0" w:color="000000"/>
              <w:left w:val="nil"/>
              <w:bottom w:val="nil"/>
              <w:right w:val="nil"/>
            </w:tcBorders>
          </w:tcPr>
          <w:p w14:paraId="4A557ECF"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75.1</w:t>
            </w:r>
          </w:p>
        </w:tc>
      </w:tr>
      <w:tr w:rsidR="00B47268" w:rsidRPr="00B47268" w14:paraId="65EF5ACE" w14:textId="77777777" w:rsidTr="00BB0D77">
        <w:trPr>
          <w:trHeight w:val="199"/>
        </w:trPr>
        <w:tc>
          <w:tcPr>
            <w:tcW w:w="907" w:type="pct"/>
            <w:tcBorders>
              <w:top w:val="nil"/>
              <w:left w:val="nil"/>
              <w:bottom w:val="nil"/>
              <w:right w:val="nil"/>
            </w:tcBorders>
          </w:tcPr>
          <w:p w14:paraId="7BEA8F08" w14:textId="77777777" w:rsidR="00B47268" w:rsidRPr="00670FA1" w:rsidRDefault="00B47268" w:rsidP="00B47268">
            <w:pPr>
              <w:spacing w:line="259" w:lineRule="auto"/>
              <w:ind w:left="100"/>
              <w:rPr>
                <w:rFonts w:eastAsia="Cambria" w:cstheme="minorHAnsi"/>
                <w:color w:val="000000"/>
                <w:sz w:val="18"/>
                <w:szCs w:val="18"/>
              </w:rPr>
            </w:pPr>
            <w:r w:rsidRPr="00670FA1">
              <w:rPr>
                <w:rFonts w:eastAsia="Cambria" w:cstheme="minorHAnsi"/>
                <w:b/>
                <w:color w:val="000000"/>
                <w:sz w:val="18"/>
                <w:szCs w:val="18"/>
              </w:rPr>
              <w:t xml:space="preserve">Standard </w:t>
            </w:r>
            <w:r w:rsidRPr="00B47268">
              <w:rPr>
                <w:rFonts w:eastAsia="Cambria" w:cstheme="minorHAnsi"/>
                <w:b/>
                <w:color w:val="000000"/>
                <w:sz w:val="18"/>
                <w:szCs w:val="18"/>
              </w:rPr>
              <w:t>deviation</w:t>
            </w:r>
          </w:p>
        </w:tc>
        <w:tc>
          <w:tcPr>
            <w:tcW w:w="353" w:type="pct"/>
            <w:tcBorders>
              <w:top w:val="nil"/>
              <w:left w:val="nil"/>
              <w:bottom w:val="nil"/>
              <w:right w:val="nil"/>
            </w:tcBorders>
          </w:tcPr>
          <w:p w14:paraId="707E256E"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0.15</w:t>
            </w:r>
          </w:p>
        </w:tc>
        <w:tc>
          <w:tcPr>
            <w:tcW w:w="354" w:type="pct"/>
            <w:tcBorders>
              <w:top w:val="nil"/>
              <w:left w:val="nil"/>
              <w:bottom w:val="nil"/>
              <w:right w:val="nil"/>
            </w:tcBorders>
          </w:tcPr>
          <w:p w14:paraId="326EF329"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11.0</w:t>
            </w:r>
          </w:p>
        </w:tc>
        <w:tc>
          <w:tcPr>
            <w:tcW w:w="346" w:type="pct"/>
            <w:tcBorders>
              <w:top w:val="nil"/>
              <w:left w:val="nil"/>
              <w:bottom w:val="nil"/>
              <w:right w:val="nil"/>
            </w:tcBorders>
          </w:tcPr>
          <w:p w14:paraId="65732BA8"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5.02</w:t>
            </w:r>
          </w:p>
        </w:tc>
        <w:tc>
          <w:tcPr>
            <w:tcW w:w="354" w:type="pct"/>
            <w:tcBorders>
              <w:top w:val="nil"/>
              <w:left w:val="nil"/>
              <w:bottom w:val="nil"/>
              <w:right w:val="nil"/>
            </w:tcBorders>
          </w:tcPr>
          <w:p w14:paraId="0E5EBBFA"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0.04</w:t>
            </w:r>
          </w:p>
        </w:tc>
        <w:tc>
          <w:tcPr>
            <w:tcW w:w="354" w:type="pct"/>
            <w:tcBorders>
              <w:top w:val="nil"/>
              <w:left w:val="nil"/>
              <w:bottom w:val="nil"/>
              <w:right w:val="nil"/>
            </w:tcBorders>
          </w:tcPr>
          <w:p w14:paraId="635E2788"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11.9</w:t>
            </w:r>
          </w:p>
        </w:tc>
        <w:tc>
          <w:tcPr>
            <w:tcW w:w="346" w:type="pct"/>
            <w:tcBorders>
              <w:top w:val="nil"/>
              <w:left w:val="nil"/>
              <w:bottom w:val="nil"/>
              <w:right w:val="nil"/>
            </w:tcBorders>
          </w:tcPr>
          <w:p w14:paraId="2E1F71B6"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4.79</w:t>
            </w:r>
          </w:p>
        </w:tc>
        <w:tc>
          <w:tcPr>
            <w:tcW w:w="354" w:type="pct"/>
            <w:tcBorders>
              <w:top w:val="nil"/>
              <w:left w:val="nil"/>
              <w:bottom w:val="nil"/>
              <w:right w:val="nil"/>
            </w:tcBorders>
          </w:tcPr>
          <w:p w14:paraId="075A1CC7"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0.04</w:t>
            </w:r>
          </w:p>
        </w:tc>
        <w:tc>
          <w:tcPr>
            <w:tcW w:w="355" w:type="pct"/>
            <w:tcBorders>
              <w:top w:val="nil"/>
              <w:left w:val="nil"/>
              <w:bottom w:val="nil"/>
              <w:right w:val="nil"/>
            </w:tcBorders>
          </w:tcPr>
          <w:p w14:paraId="270EA09D"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9.90</w:t>
            </w:r>
          </w:p>
        </w:tc>
        <w:tc>
          <w:tcPr>
            <w:tcW w:w="346" w:type="pct"/>
            <w:tcBorders>
              <w:top w:val="nil"/>
              <w:left w:val="nil"/>
              <w:bottom w:val="nil"/>
              <w:right w:val="nil"/>
            </w:tcBorders>
          </w:tcPr>
          <w:p w14:paraId="773461DA"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4.98</w:t>
            </w:r>
          </w:p>
        </w:tc>
        <w:tc>
          <w:tcPr>
            <w:tcW w:w="354" w:type="pct"/>
            <w:tcBorders>
              <w:top w:val="nil"/>
              <w:left w:val="nil"/>
              <w:bottom w:val="nil"/>
              <w:right w:val="nil"/>
            </w:tcBorders>
          </w:tcPr>
          <w:p w14:paraId="2F9AD897"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0.09</w:t>
            </w:r>
          </w:p>
        </w:tc>
        <w:tc>
          <w:tcPr>
            <w:tcW w:w="355" w:type="pct"/>
            <w:tcBorders>
              <w:top w:val="nil"/>
              <w:left w:val="nil"/>
              <w:bottom w:val="nil"/>
              <w:right w:val="nil"/>
            </w:tcBorders>
          </w:tcPr>
          <w:p w14:paraId="6273DE03"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9.96</w:t>
            </w:r>
          </w:p>
        </w:tc>
        <w:tc>
          <w:tcPr>
            <w:tcW w:w="222" w:type="pct"/>
            <w:tcBorders>
              <w:top w:val="nil"/>
              <w:left w:val="nil"/>
              <w:bottom w:val="nil"/>
              <w:right w:val="nil"/>
            </w:tcBorders>
          </w:tcPr>
          <w:p w14:paraId="12190C08"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4.73</w:t>
            </w:r>
          </w:p>
        </w:tc>
      </w:tr>
      <w:tr w:rsidR="00B47268" w:rsidRPr="00B47268" w14:paraId="38679FCE" w14:textId="77777777" w:rsidTr="00BB0D77">
        <w:trPr>
          <w:trHeight w:val="199"/>
        </w:trPr>
        <w:tc>
          <w:tcPr>
            <w:tcW w:w="907" w:type="pct"/>
            <w:tcBorders>
              <w:top w:val="nil"/>
              <w:left w:val="nil"/>
              <w:bottom w:val="nil"/>
              <w:right w:val="nil"/>
            </w:tcBorders>
          </w:tcPr>
          <w:p w14:paraId="2A7B911D" w14:textId="77777777" w:rsidR="00B47268" w:rsidRPr="00670FA1" w:rsidRDefault="00B47268" w:rsidP="00B47268">
            <w:pPr>
              <w:spacing w:line="259" w:lineRule="auto"/>
              <w:ind w:left="100"/>
              <w:rPr>
                <w:rFonts w:eastAsia="Cambria" w:cstheme="minorHAnsi"/>
                <w:color w:val="000000"/>
                <w:sz w:val="18"/>
                <w:szCs w:val="18"/>
              </w:rPr>
            </w:pPr>
            <w:r w:rsidRPr="00670FA1">
              <w:rPr>
                <w:rFonts w:eastAsia="Cambria" w:cstheme="minorHAnsi"/>
                <w:b/>
                <w:color w:val="000000"/>
                <w:sz w:val="18"/>
                <w:szCs w:val="18"/>
              </w:rPr>
              <w:t>95th %</w:t>
            </w:r>
          </w:p>
        </w:tc>
        <w:tc>
          <w:tcPr>
            <w:tcW w:w="353" w:type="pct"/>
            <w:tcBorders>
              <w:top w:val="nil"/>
              <w:left w:val="nil"/>
              <w:bottom w:val="nil"/>
              <w:right w:val="nil"/>
            </w:tcBorders>
          </w:tcPr>
          <w:p w14:paraId="617ADE2C"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0.67</w:t>
            </w:r>
          </w:p>
        </w:tc>
        <w:tc>
          <w:tcPr>
            <w:tcW w:w="354" w:type="pct"/>
            <w:tcBorders>
              <w:top w:val="nil"/>
              <w:left w:val="nil"/>
              <w:bottom w:val="nil"/>
              <w:right w:val="nil"/>
            </w:tcBorders>
          </w:tcPr>
          <w:p w14:paraId="41AA399E"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62.5</w:t>
            </w:r>
          </w:p>
        </w:tc>
        <w:tc>
          <w:tcPr>
            <w:tcW w:w="346" w:type="pct"/>
            <w:tcBorders>
              <w:top w:val="nil"/>
              <w:left w:val="nil"/>
              <w:bottom w:val="nil"/>
              <w:right w:val="nil"/>
            </w:tcBorders>
          </w:tcPr>
          <w:p w14:paraId="3A713100"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85.2</w:t>
            </w:r>
          </w:p>
        </w:tc>
        <w:tc>
          <w:tcPr>
            <w:tcW w:w="354" w:type="pct"/>
            <w:tcBorders>
              <w:top w:val="nil"/>
              <w:left w:val="nil"/>
              <w:bottom w:val="nil"/>
              <w:right w:val="nil"/>
            </w:tcBorders>
          </w:tcPr>
          <w:p w14:paraId="2371953C"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0.27</w:t>
            </w:r>
          </w:p>
        </w:tc>
        <w:tc>
          <w:tcPr>
            <w:tcW w:w="354" w:type="pct"/>
            <w:tcBorders>
              <w:top w:val="nil"/>
              <w:left w:val="nil"/>
              <w:bottom w:val="nil"/>
              <w:right w:val="nil"/>
            </w:tcBorders>
          </w:tcPr>
          <w:p w14:paraId="5776D62B"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65.9</w:t>
            </w:r>
          </w:p>
        </w:tc>
        <w:tc>
          <w:tcPr>
            <w:tcW w:w="346" w:type="pct"/>
            <w:tcBorders>
              <w:top w:val="nil"/>
              <w:left w:val="nil"/>
              <w:bottom w:val="nil"/>
              <w:right w:val="nil"/>
            </w:tcBorders>
          </w:tcPr>
          <w:p w14:paraId="05031261"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85.5</w:t>
            </w:r>
          </w:p>
        </w:tc>
        <w:tc>
          <w:tcPr>
            <w:tcW w:w="354" w:type="pct"/>
            <w:tcBorders>
              <w:top w:val="nil"/>
              <w:left w:val="nil"/>
              <w:bottom w:val="nil"/>
              <w:right w:val="nil"/>
            </w:tcBorders>
          </w:tcPr>
          <w:p w14:paraId="61E4D626"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0.40</w:t>
            </w:r>
          </w:p>
        </w:tc>
        <w:tc>
          <w:tcPr>
            <w:tcW w:w="355" w:type="pct"/>
            <w:tcBorders>
              <w:top w:val="nil"/>
              <w:left w:val="nil"/>
              <w:bottom w:val="nil"/>
              <w:right w:val="nil"/>
            </w:tcBorders>
          </w:tcPr>
          <w:p w14:paraId="22F85183"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61.9</w:t>
            </w:r>
          </w:p>
        </w:tc>
        <w:tc>
          <w:tcPr>
            <w:tcW w:w="346" w:type="pct"/>
            <w:tcBorders>
              <w:top w:val="nil"/>
              <w:left w:val="nil"/>
              <w:bottom w:val="nil"/>
              <w:right w:val="nil"/>
            </w:tcBorders>
          </w:tcPr>
          <w:p w14:paraId="2B5BE309"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85.5</w:t>
            </w:r>
          </w:p>
        </w:tc>
        <w:tc>
          <w:tcPr>
            <w:tcW w:w="354" w:type="pct"/>
            <w:tcBorders>
              <w:top w:val="nil"/>
              <w:left w:val="nil"/>
              <w:bottom w:val="nil"/>
              <w:right w:val="nil"/>
            </w:tcBorders>
          </w:tcPr>
          <w:p w14:paraId="7F219EF1"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0.70</w:t>
            </w:r>
          </w:p>
        </w:tc>
        <w:tc>
          <w:tcPr>
            <w:tcW w:w="355" w:type="pct"/>
            <w:tcBorders>
              <w:top w:val="nil"/>
              <w:left w:val="nil"/>
              <w:bottom w:val="nil"/>
              <w:right w:val="nil"/>
            </w:tcBorders>
          </w:tcPr>
          <w:p w14:paraId="47DB791D"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57.9</w:t>
            </w:r>
          </w:p>
        </w:tc>
        <w:tc>
          <w:tcPr>
            <w:tcW w:w="222" w:type="pct"/>
            <w:tcBorders>
              <w:top w:val="nil"/>
              <w:left w:val="nil"/>
              <w:bottom w:val="nil"/>
              <w:right w:val="nil"/>
            </w:tcBorders>
          </w:tcPr>
          <w:p w14:paraId="49C22739"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84.1</w:t>
            </w:r>
          </w:p>
        </w:tc>
      </w:tr>
      <w:tr w:rsidR="00B47268" w:rsidRPr="00B47268" w14:paraId="7883D112" w14:textId="77777777" w:rsidTr="00BB0D77">
        <w:trPr>
          <w:trHeight w:val="199"/>
        </w:trPr>
        <w:tc>
          <w:tcPr>
            <w:tcW w:w="907" w:type="pct"/>
            <w:tcBorders>
              <w:top w:val="nil"/>
              <w:left w:val="nil"/>
              <w:bottom w:val="nil"/>
              <w:right w:val="nil"/>
            </w:tcBorders>
          </w:tcPr>
          <w:p w14:paraId="7A6A8377" w14:textId="77777777" w:rsidR="00B47268" w:rsidRPr="00670FA1" w:rsidRDefault="00B47268" w:rsidP="00B47268">
            <w:pPr>
              <w:spacing w:line="259" w:lineRule="auto"/>
              <w:ind w:left="100"/>
              <w:rPr>
                <w:rFonts w:eastAsia="Cambria" w:cstheme="minorHAnsi"/>
                <w:color w:val="000000"/>
                <w:sz w:val="18"/>
                <w:szCs w:val="18"/>
              </w:rPr>
            </w:pPr>
            <w:r w:rsidRPr="00670FA1">
              <w:rPr>
                <w:rFonts w:eastAsia="Cambria" w:cstheme="minorHAnsi"/>
                <w:b/>
                <w:color w:val="000000"/>
                <w:sz w:val="18"/>
                <w:szCs w:val="18"/>
              </w:rPr>
              <w:t>75th %</w:t>
            </w:r>
          </w:p>
        </w:tc>
        <w:tc>
          <w:tcPr>
            <w:tcW w:w="353" w:type="pct"/>
            <w:tcBorders>
              <w:top w:val="nil"/>
              <w:left w:val="nil"/>
              <w:bottom w:val="nil"/>
              <w:right w:val="nil"/>
            </w:tcBorders>
          </w:tcPr>
          <w:p w14:paraId="63426011"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0.49</w:t>
            </w:r>
          </w:p>
        </w:tc>
        <w:tc>
          <w:tcPr>
            <w:tcW w:w="354" w:type="pct"/>
            <w:tcBorders>
              <w:top w:val="nil"/>
              <w:left w:val="nil"/>
              <w:bottom w:val="nil"/>
              <w:right w:val="nil"/>
            </w:tcBorders>
          </w:tcPr>
          <w:p w14:paraId="046C657D"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51.9</w:t>
            </w:r>
          </w:p>
        </w:tc>
        <w:tc>
          <w:tcPr>
            <w:tcW w:w="346" w:type="pct"/>
            <w:tcBorders>
              <w:top w:val="nil"/>
              <w:left w:val="nil"/>
              <w:bottom w:val="nil"/>
              <w:right w:val="nil"/>
            </w:tcBorders>
          </w:tcPr>
          <w:p w14:paraId="4D7E22CF"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80.8</w:t>
            </w:r>
          </w:p>
        </w:tc>
        <w:tc>
          <w:tcPr>
            <w:tcW w:w="354" w:type="pct"/>
            <w:tcBorders>
              <w:top w:val="nil"/>
              <w:left w:val="nil"/>
              <w:bottom w:val="nil"/>
              <w:right w:val="nil"/>
            </w:tcBorders>
          </w:tcPr>
          <w:p w14:paraId="7B0A3417"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0.25</w:t>
            </w:r>
          </w:p>
        </w:tc>
        <w:tc>
          <w:tcPr>
            <w:tcW w:w="354" w:type="pct"/>
            <w:tcBorders>
              <w:top w:val="nil"/>
              <w:left w:val="nil"/>
              <w:bottom w:val="nil"/>
              <w:right w:val="nil"/>
            </w:tcBorders>
          </w:tcPr>
          <w:p w14:paraId="517D4ED7"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57.1</w:t>
            </w:r>
          </w:p>
        </w:tc>
        <w:tc>
          <w:tcPr>
            <w:tcW w:w="346" w:type="pct"/>
            <w:tcBorders>
              <w:top w:val="nil"/>
              <w:left w:val="nil"/>
              <w:bottom w:val="nil"/>
              <w:right w:val="nil"/>
            </w:tcBorders>
          </w:tcPr>
          <w:p w14:paraId="4F466AF1"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81.7</w:t>
            </w:r>
          </w:p>
        </w:tc>
        <w:tc>
          <w:tcPr>
            <w:tcW w:w="354" w:type="pct"/>
            <w:tcBorders>
              <w:top w:val="nil"/>
              <w:left w:val="nil"/>
              <w:bottom w:val="nil"/>
              <w:right w:val="nil"/>
            </w:tcBorders>
          </w:tcPr>
          <w:p w14:paraId="5B817B69"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0.37</w:t>
            </w:r>
          </w:p>
        </w:tc>
        <w:tc>
          <w:tcPr>
            <w:tcW w:w="355" w:type="pct"/>
            <w:tcBorders>
              <w:top w:val="nil"/>
              <w:left w:val="nil"/>
              <w:bottom w:val="nil"/>
              <w:right w:val="nil"/>
            </w:tcBorders>
          </w:tcPr>
          <w:p w14:paraId="11685F83"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52.1</w:t>
            </w:r>
          </w:p>
        </w:tc>
        <w:tc>
          <w:tcPr>
            <w:tcW w:w="346" w:type="pct"/>
            <w:tcBorders>
              <w:top w:val="nil"/>
              <w:left w:val="nil"/>
              <w:bottom w:val="nil"/>
              <w:right w:val="nil"/>
            </w:tcBorders>
          </w:tcPr>
          <w:p w14:paraId="6C24DB6F"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81.7</w:t>
            </w:r>
          </w:p>
        </w:tc>
        <w:tc>
          <w:tcPr>
            <w:tcW w:w="354" w:type="pct"/>
            <w:tcBorders>
              <w:top w:val="nil"/>
              <w:left w:val="nil"/>
              <w:bottom w:val="nil"/>
              <w:right w:val="nil"/>
            </w:tcBorders>
          </w:tcPr>
          <w:p w14:paraId="5D033007"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0.62</w:t>
            </w:r>
          </w:p>
        </w:tc>
        <w:tc>
          <w:tcPr>
            <w:tcW w:w="355" w:type="pct"/>
            <w:tcBorders>
              <w:top w:val="nil"/>
              <w:left w:val="nil"/>
              <w:bottom w:val="nil"/>
              <w:right w:val="nil"/>
            </w:tcBorders>
          </w:tcPr>
          <w:p w14:paraId="5E565C60"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47.7</w:t>
            </w:r>
          </w:p>
        </w:tc>
        <w:tc>
          <w:tcPr>
            <w:tcW w:w="222" w:type="pct"/>
            <w:tcBorders>
              <w:top w:val="nil"/>
              <w:left w:val="nil"/>
              <w:bottom w:val="nil"/>
              <w:right w:val="nil"/>
            </w:tcBorders>
          </w:tcPr>
          <w:p w14:paraId="3222B4EE"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77.9</w:t>
            </w:r>
          </w:p>
        </w:tc>
      </w:tr>
      <w:tr w:rsidR="00B47268" w:rsidRPr="00B47268" w14:paraId="36B729F1" w14:textId="77777777" w:rsidTr="00BB0D77">
        <w:trPr>
          <w:trHeight w:val="199"/>
        </w:trPr>
        <w:tc>
          <w:tcPr>
            <w:tcW w:w="907" w:type="pct"/>
            <w:tcBorders>
              <w:top w:val="nil"/>
              <w:left w:val="nil"/>
              <w:bottom w:val="nil"/>
              <w:right w:val="nil"/>
            </w:tcBorders>
          </w:tcPr>
          <w:p w14:paraId="73F88BBC" w14:textId="77777777" w:rsidR="00B47268" w:rsidRPr="00670FA1" w:rsidRDefault="00B47268" w:rsidP="00B47268">
            <w:pPr>
              <w:spacing w:line="259" w:lineRule="auto"/>
              <w:ind w:left="100"/>
              <w:rPr>
                <w:rFonts w:eastAsia="Cambria" w:cstheme="minorHAnsi"/>
                <w:color w:val="000000"/>
                <w:sz w:val="18"/>
                <w:szCs w:val="18"/>
              </w:rPr>
            </w:pPr>
            <w:r w:rsidRPr="00670FA1">
              <w:rPr>
                <w:rFonts w:eastAsia="Cambria" w:cstheme="minorHAnsi"/>
                <w:b/>
                <w:color w:val="000000"/>
                <w:sz w:val="18"/>
                <w:szCs w:val="18"/>
              </w:rPr>
              <w:t>50th %</w:t>
            </w:r>
          </w:p>
        </w:tc>
        <w:tc>
          <w:tcPr>
            <w:tcW w:w="353" w:type="pct"/>
            <w:tcBorders>
              <w:top w:val="nil"/>
              <w:left w:val="nil"/>
              <w:bottom w:val="nil"/>
              <w:right w:val="nil"/>
            </w:tcBorders>
          </w:tcPr>
          <w:p w14:paraId="2115903A"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0.35</w:t>
            </w:r>
          </w:p>
        </w:tc>
        <w:tc>
          <w:tcPr>
            <w:tcW w:w="354" w:type="pct"/>
            <w:tcBorders>
              <w:top w:val="nil"/>
              <w:left w:val="nil"/>
              <w:bottom w:val="nil"/>
              <w:right w:val="nil"/>
            </w:tcBorders>
          </w:tcPr>
          <w:p w14:paraId="534ACE52"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42.8</w:t>
            </w:r>
          </w:p>
        </w:tc>
        <w:tc>
          <w:tcPr>
            <w:tcW w:w="346" w:type="pct"/>
            <w:tcBorders>
              <w:top w:val="nil"/>
              <w:left w:val="nil"/>
              <w:bottom w:val="nil"/>
              <w:right w:val="nil"/>
            </w:tcBorders>
          </w:tcPr>
          <w:p w14:paraId="77DA040A"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76.2</w:t>
            </w:r>
          </w:p>
        </w:tc>
        <w:tc>
          <w:tcPr>
            <w:tcW w:w="354" w:type="pct"/>
            <w:tcBorders>
              <w:top w:val="nil"/>
              <w:left w:val="nil"/>
              <w:bottom w:val="nil"/>
              <w:right w:val="nil"/>
            </w:tcBorders>
          </w:tcPr>
          <w:p w14:paraId="01D9F530"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0.23</w:t>
            </w:r>
          </w:p>
        </w:tc>
        <w:tc>
          <w:tcPr>
            <w:tcW w:w="354" w:type="pct"/>
            <w:tcBorders>
              <w:top w:val="nil"/>
              <w:left w:val="nil"/>
              <w:bottom w:val="nil"/>
              <w:right w:val="nil"/>
            </w:tcBorders>
          </w:tcPr>
          <w:p w14:paraId="219FE82A"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45.8</w:t>
            </w:r>
          </w:p>
        </w:tc>
        <w:tc>
          <w:tcPr>
            <w:tcW w:w="346" w:type="pct"/>
            <w:tcBorders>
              <w:top w:val="nil"/>
              <w:left w:val="nil"/>
              <w:bottom w:val="nil"/>
              <w:right w:val="nil"/>
            </w:tcBorders>
          </w:tcPr>
          <w:p w14:paraId="0E9A4FCE"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79.5</w:t>
            </w:r>
          </w:p>
        </w:tc>
        <w:tc>
          <w:tcPr>
            <w:tcW w:w="354" w:type="pct"/>
            <w:tcBorders>
              <w:top w:val="nil"/>
              <w:left w:val="nil"/>
              <w:bottom w:val="nil"/>
              <w:right w:val="nil"/>
            </w:tcBorders>
          </w:tcPr>
          <w:p w14:paraId="50F45353"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0.33</w:t>
            </w:r>
          </w:p>
        </w:tc>
        <w:tc>
          <w:tcPr>
            <w:tcW w:w="355" w:type="pct"/>
            <w:tcBorders>
              <w:top w:val="nil"/>
              <w:left w:val="nil"/>
              <w:bottom w:val="nil"/>
              <w:right w:val="nil"/>
            </w:tcBorders>
          </w:tcPr>
          <w:p w14:paraId="482D678D"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44.0</w:t>
            </w:r>
          </w:p>
        </w:tc>
        <w:tc>
          <w:tcPr>
            <w:tcW w:w="346" w:type="pct"/>
            <w:tcBorders>
              <w:top w:val="nil"/>
              <w:left w:val="nil"/>
              <w:bottom w:val="nil"/>
              <w:right w:val="nil"/>
            </w:tcBorders>
          </w:tcPr>
          <w:p w14:paraId="10EA623E"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76.7</w:t>
            </w:r>
          </w:p>
        </w:tc>
        <w:tc>
          <w:tcPr>
            <w:tcW w:w="354" w:type="pct"/>
            <w:tcBorders>
              <w:top w:val="nil"/>
              <w:left w:val="nil"/>
              <w:bottom w:val="nil"/>
              <w:right w:val="nil"/>
            </w:tcBorders>
          </w:tcPr>
          <w:p w14:paraId="0AC7AC15"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0.53</w:t>
            </w:r>
          </w:p>
        </w:tc>
        <w:tc>
          <w:tcPr>
            <w:tcW w:w="355" w:type="pct"/>
            <w:tcBorders>
              <w:top w:val="nil"/>
              <w:left w:val="nil"/>
              <w:bottom w:val="nil"/>
              <w:right w:val="nil"/>
            </w:tcBorders>
          </w:tcPr>
          <w:p w14:paraId="29216704"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39.8</w:t>
            </w:r>
          </w:p>
        </w:tc>
        <w:tc>
          <w:tcPr>
            <w:tcW w:w="222" w:type="pct"/>
            <w:tcBorders>
              <w:top w:val="nil"/>
              <w:left w:val="nil"/>
              <w:bottom w:val="nil"/>
              <w:right w:val="nil"/>
            </w:tcBorders>
          </w:tcPr>
          <w:p w14:paraId="0179BF93"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74.5</w:t>
            </w:r>
          </w:p>
        </w:tc>
      </w:tr>
      <w:tr w:rsidR="00B47268" w:rsidRPr="00B47268" w14:paraId="300203EC" w14:textId="77777777" w:rsidTr="00BB0D77">
        <w:trPr>
          <w:trHeight w:val="199"/>
        </w:trPr>
        <w:tc>
          <w:tcPr>
            <w:tcW w:w="907" w:type="pct"/>
            <w:tcBorders>
              <w:top w:val="nil"/>
              <w:left w:val="nil"/>
              <w:bottom w:val="nil"/>
              <w:right w:val="nil"/>
            </w:tcBorders>
          </w:tcPr>
          <w:p w14:paraId="2BD0DD97" w14:textId="77777777" w:rsidR="00B47268" w:rsidRPr="00670FA1" w:rsidRDefault="00B47268" w:rsidP="00B47268">
            <w:pPr>
              <w:spacing w:line="259" w:lineRule="auto"/>
              <w:ind w:left="100"/>
              <w:rPr>
                <w:rFonts w:eastAsia="Cambria" w:cstheme="minorHAnsi"/>
                <w:color w:val="000000"/>
                <w:sz w:val="18"/>
                <w:szCs w:val="18"/>
              </w:rPr>
            </w:pPr>
            <w:r w:rsidRPr="00670FA1">
              <w:rPr>
                <w:rFonts w:eastAsia="Cambria" w:cstheme="minorHAnsi"/>
                <w:b/>
                <w:color w:val="000000"/>
                <w:sz w:val="18"/>
                <w:szCs w:val="18"/>
              </w:rPr>
              <w:t>25th %</w:t>
            </w:r>
          </w:p>
        </w:tc>
        <w:tc>
          <w:tcPr>
            <w:tcW w:w="353" w:type="pct"/>
            <w:tcBorders>
              <w:top w:val="nil"/>
              <w:left w:val="nil"/>
              <w:bottom w:val="nil"/>
              <w:right w:val="nil"/>
            </w:tcBorders>
          </w:tcPr>
          <w:p w14:paraId="06D1C366"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0.26</w:t>
            </w:r>
          </w:p>
        </w:tc>
        <w:tc>
          <w:tcPr>
            <w:tcW w:w="354" w:type="pct"/>
            <w:tcBorders>
              <w:top w:val="nil"/>
              <w:left w:val="nil"/>
              <w:bottom w:val="nil"/>
              <w:right w:val="nil"/>
            </w:tcBorders>
          </w:tcPr>
          <w:p w14:paraId="3841D5DB"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36.6</w:t>
            </w:r>
          </w:p>
        </w:tc>
        <w:tc>
          <w:tcPr>
            <w:tcW w:w="346" w:type="pct"/>
            <w:tcBorders>
              <w:top w:val="nil"/>
              <w:left w:val="nil"/>
              <w:bottom w:val="nil"/>
              <w:right w:val="nil"/>
            </w:tcBorders>
          </w:tcPr>
          <w:p w14:paraId="50B5F611"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72.8</w:t>
            </w:r>
          </w:p>
        </w:tc>
        <w:tc>
          <w:tcPr>
            <w:tcW w:w="354" w:type="pct"/>
            <w:tcBorders>
              <w:top w:val="nil"/>
              <w:left w:val="nil"/>
              <w:bottom w:val="nil"/>
              <w:right w:val="nil"/>
            </w:tcBorders>
          </w:tcPr>
          <w:p w14:paraId="6FADDD43"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0.20</w:t>
            </w:r>
          </w:p>
        </w:tc>
        <w:tc>
          <w:tcPr>
            <w:tcW w:w="354" w:type="pct"/>
            <w:tcBorders>
              <w:top w:val="nil"/>
              <w:left w:val="nil"/>
              <w:bottom w:val="nil"/>
              <w:right w:val="nil"/>
            </w:tcBorders>
          </w:tcPr>
          <w:p w14:paraId="7C0E538A"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38.6</w:t>
            </w:r>
          </w:p>
        </w:tc>
        <w:tc>
          <w:tcPr>
            <w:tcW w:w="346" w:type="pct"/>
            <w:tcBorders>
              <w:top w:val="nil"/>
              <w:left w:val="nil"/>
              <w:bottom w:val="nil"/>
              <w:right w:val="nil"/>
            </w:tcBorders>
          </w:tcPr>
          <w:p w14:paraId="4CA7CD3E"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74.4</w:t>
            </w:r>
          </w:p>
        </w:tc>
        <w:tc>
          <w:tcPr>
            <w:tcW w:w="354" w:type="pct"/>
            <w:tcBorders>
              <w:top w:val="nil"/>
              <w:left w:val="nil"/>
              <w:bottom w:val="nil"/>
              <w:right w:val="nil"/>
            </w:tcBorders>
          </w:tcPr>
          <w:p w14:paraId="5C79A3F4"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0.30</w:t>
            </w:r>
          </w:p>
        </w:tc>
        <w:tc>
          <w:tcPr>
            <w:tcW w:w="355" w:type="pct"/>
            <w:tcBorders>
              <w:top w:val="nil"/>
              <w:left w:val="nil"/>
              <w:bottom w:val="nil"/>
              <w:right w:val="nil"/>
            </w:tcBorders>
          </w:tcPr>
          <w:p w14:paraId="4193BF14"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37.7</w:t>
            </w:r>
          </w:p>
        </w:tc>
        <w:tc>
          <w:tcPr>
            <w:tcW w:w="346" w:type="pct"/>
            <w:tcBorders>
              <w:top w:val="nil"/>
              <w:left w:val="nil"/>
              <w:bottom w:val="nil"/>
              <w:right w:val="nil"/>
            </w:tcBorders>
          </w:tcPr>
          <w:p w14:paraId="5C162A45"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73.5</w:t>
            </w:r>
          </w:p>
        </w:tc>
        <w:tc>
          <w:tcPr>
            <w:tcW w:w="354" w:type="pct"/>
            <w:tcBorders>
              <w:top w:val="nil"/>
              <w:left w:val="nil"/>
              <w:bottom w:val="nil"/>
              <w:right w:val="nil"/>
            </w:tcBorders>
          </w:tcPr>
          <w:p w14:paraId="59608842"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0.46</w:t>
            </w:r>
          </w:p>
        </w:tc>
        <w:tc>
          <w:tcPr>
            <w:tcW w:w="355" w:type="pct"/>
            <w:tcBorders>
              <w:top w:val="nil"/>
              <w:left w:val="nil"/>
              <w:bottom w:val="nil"/>
              <w:right w:val="nil"/>
            </w:tcBorders>
          </w:tcPr>
          <w:p w14:paraId="67583B18"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33.7</w:t>
            </w:r>
          </w:p>
        </w:tc>
        <w:tc>
          <w:tcPr>
            <w:tcW w:w="222" w:type="pct"/>
            <w:tcBorders>
              <w:top w:val="nil"/>
              <w:left w:val="nil"/>
              <w:bottom w:val="nil"/>
              <w:right w:val="nil"/>
            </w:tcBorders>
          </w:tcPr>
          <w:p w14:paraId="3EDFEFDF"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71.6</w:t>
            </w:r>
          </w:p>
        </w:tc>
      </w:tr>
      <w:tr w:rsidR="00B47268" w:rsidRPr="00B47268" w14:paraId="7A728549" w14:textId="77777777" w:rsidTr="00BB0D77">
        <w:trPr>
          <w:trHeight w:val="199"/>
        </w:trPr>
        <w:tc>
          <w:tcPr>
            <w:tcW w:w="907" w:type="pct"/>
            <w:tcBorders>
              <w:top w:val="nil"/>
              <w:left w:val="nil"/>
              <w:bottom w:val="nil"/>
              <w:right w:val="nil"/>
            </w:tcBorders>
          </w:tcPr>
          <w:p w14:paraId="585D3A44" w14:textId="77777777" w:rsidR="00B47268" w:rsidRPr="00670FA1" w:rsidRDefault="00B47268" w:rsidP="00B47268">
            <w:pPr>
              <w:spacing w:line="259" w:lineRule="auto"/>
              <w:ind w:left="100"/>
              <w:rPr>
                <w:rFonts w:eastAsia="Cambria" w:cstheme="minorHAnsi"/>
                <w:color w:val="000000"/>
                <w:sz w:val="18"/>
                <w:szCs w:val="18"/>
              </w:rPr>
            </w:pPr>
            <w:r w:rsidRPr="00670FA1">
              <w:rPr>
                <w:rFonts w:eastAsia="Cambria" w:cstheme="minorHAnsi"/>
                <w:b/>
                <w:color w:val="000000"/>
                <w:sz w:val="18"/>
                <w:szCs w:val="18"/>
              </w:rPr>
              <w:t>5th %</w:t>
            </w:r>
          </w:p>
        </w:tc>
        <w:tc>
          <w:tcPr>
            <w:tcW w:w="353" w:type="pct"/>
            <w:tcBorders>
              <w:top w:val="nil"/>
              <w:left w:val="nil"/>
              <w:bottom w:val="nil"/>
              <w:right w:val="nil"/>
            </w:tcBorders>
          </w:tcPr>
          <w:p w14:paraId="0B913220"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0.19</w:t>
            </w:r>
          </w:p>
        </w:tc>
        <w:tc>
          <w:tcPr>
            <w:tcW w:w="354" w:type="pct"/>
            <w:tcBorders>
              <w:top w:val="nil"/>
              <w:left w:val="nil"/>
              <w:bottom w:val="nil"/>
              <w:right w:val="nil"/>
            </w:tcBorders>
          </w:tcPr>
          <w:p w14:paraId="5C3CACEC"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29.7</w:t>
            </w:r>
          </w:p>
        </w:tc>
        <w:tc>
          <w:tcPr>
            <w:tcW w:w="346" w:type="pct"/>
            <w:tcBorders>
              <w:top w:val="nil"/>
              <w:left w:val="nil"/>
              <w:bottom w:val="nil"/>
              <w:right w:val="nil"/>
            </w:tcBorders>
          </w:tcPr>
          <w:p w14:paraId="1EC2B586"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69.2</w:t>
            </w:r>
          </w:p>
        </w:tc>
        <w:tc>
          <w:tcPr>
            <w:tcW w:w="354" w:type="pct"/>
            <w:tcBorders>
              <w:top w:val="nil"/>
              <w:left w:val="nil"/>
              <w:bottom w:val="nil"/>
              <w:right w:val="nil"/>
            </w:tcBorders>
          </w:tcPr>
          <w:p w14:paraId="2EBA9CB7"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0.16</w:t>
            </w:r>
          </w:p>
        </w:tc>
        <w:tc>
          <w:tcPr>
            <w:tcW w:w="354" w:type="pct"/>
            <w:tcBorders>
              <w:top w:val="nil"/>
              <w:left w:val="nil"/>
              <w:bottom w:val="nil"/>
              <w:right w:val="nil"/>
            </w:tcBorders>
          </w:tcPr>
          <w:p w14:paraId="481AD373"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33.9</w:t>
            </w:r>
          </w:p>
        </w:tc>
        <w:tc>
          <w:tcPr>
            <w:tcW w:w="346" w:type="pct"/>
            <w:tcBorders>
              <w:top w:val="nil"/>
              <w:left w:val="nil"/>
              <w:bottom w:val="nil"/>
              <w:right w:val="nil"/>
            </w:tcBorders>
          </w:tcPr>
          <w:p w14:paraId="482EBABE"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70.5</w:t>
            </w:r>
          </w:p>
        </w:tc>
        <w:tc>
          <w:tcPr>
            <w:tcW w:w="354" w:type="pct"/>
            <w:tcBorders>
              <w:top w:val="nil"/>
              <w:left w:val="nil"/>
              <w:bottom w:val="nil"/>
              <w:right w:val="nil"/>
            </w:tcBorders>
          </w:tcPr>
          <w:p w14:paraId="43BEEE4E"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0.28</w:t>
            </w:r>
          </w:p>
        </w:tc>
        <w:tc>
          <w:tcPr>
            <w:tcW w:w="355" w:type="pct"/>
            <w:tcBorders>
              <w:top w:val="nil"/>
              <w:left w:val="nil"/>
              <w:bottom w:val="nil"/>
              <w:right w:val="nil"/>
            </w:tcBorders>
          </w:tcPr>
          <w:p w14:paraId="0EC8F3AA"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32.1</w:t>
            </w:r>
          </w:p>
        </w:tc>
        <w:tc>
          <w:tcPr>
            <w:tcW w:w="346" w:type="pct"/>
            <w:tcBorders>
              <w:top w:val="nil"/>
              <w:left w:val="nil"/>
              <w:bottom w:val="nil"/>
              <w:right w:val="nil"/>
            </w:tcBorders>
          </w:tcPr>
          <w:p w14:paraId="4E38859E"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70.5</w:t>
            </w:r>
          </w:p>
        </w:tc>
        <w:tc>
          <w:tcPr>
            <w:tcW w:w="354" w:type="pct"/>
            <w:tcBorders>
              <w:top w:val="nil"/>
              <w:left w:val="nil"/>
              <w:bottom w:val="nil"/>
              <w:right w:val="nil"/>
            </w:tcBorders>
          </w:tcPr>
          <w:p w14:paraId="696AD577"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0.42</w:t>
            </w:r>
          </w:p>
        </w:tc>
        <w:tc>
          <w:tcPr>
            <w:tcW w:w="355" w:type="pct"/>
            <w:tcBorders>
              <w:top w:val="nil"/>
              <w:left w:val="nil"/>
              <w:bottom w:val="nil"/>
              <w:right w:val="nil"/>
            </w:tcBorders>
          </w:tcPr>
          <w:p w14:paraId="428C129E"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27.7</w:t>
            </w:r>
          </w:p>
        </w:tc>
        <w:tc>
          <w:tcPr>
            <w:tcW w:w="222" w:type="pct"/>
            <w:tcBorders>
              <w:top w:val="nil"/>
              <w:left w:val="nil"/>
              <w:bottom w:val="nil"/>
              <w:right w:val="nil"/>
            </w:tcBorders>
          </w:tcPr>
          <w:p w14:paraId="12B30FD1"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68.1</w:t>
            </w:r>
          </w:p>
        </w:tc>
      </w:tr>
      <w:tr w:rsidR="00B47268" w:rsidRPr="00B47268" w14:paraId="745FABB6" w14:textId="77777777" w:rsidTr="00BB0D77">
        <w:trPr>
          <w:trHeight w:val="233"/>
        </w:trPr>
        <w:tc>
          <w:tcPr>
            <w:tcW w:w="907" w:type="pct"/>
            <w:tcBorders>
              <w:top w:val="nil"/>
              <w:left w:val="nil"/>
              <w:bottom w:val="single" w:sz="5" w:space="0" w:color="000000"/>
              <w:right w:val="nil"/>
            </w:tcBorders>
          </w:tcPr>
          <w:p w14:paraId="167042D9" w14:textId="77777777" w:rsidR="00B47268" w:rsidRPr="00670FA1" w:rsidRDefault="00B47268" w:rsidP="00B47268">
            <w:pPr>
              <w:spacing w:line="259" w:lineRule="auto"/>
              <w:ind w:left="100"/>
              <w:rPr>
                <w:rFonts w:eastAsia="Cambria" w:cstheme="minorHAnsi"/>
                <w:color w:val="000000"/>
                <w:sz w:val="18"/>
                <w:szCs w:val="18"/>
              </w:rPr>
            </w:pPr>
            <w:r w:rsidRPr="00B47268">
              <w:rPr>
                <w:rFonts w:eastAsia="Cambria" w:cstheme="minorHAnsi"/>
                <w:b/>
                <w:color w:val="000000"/>
                <w:sz w:val="18"/>
                <w:szCs w:val="18"/>
              </w:rPr>
              <w:t>Interquartile</w:t>
            </w:r>
            <w:r w:rsidRPr="00670FA1">
              <w:rPr>
                <w:rFonts w:eastAsia="Cambria" w:cstheme="minorHAnsi"/>
                <w:b/>
                <w:color w:val="000000"/>
                <w:sz w:val="18"/>
                <w:szCs w:val="18"/>
              </w:rPr>
              <w:t xml:space="preserve"> range</w:t>
            </w:r>
          </w:p>
        </w:tc>
        <w:tc>
          <w:tcPr>
            <w:tcW w:w="353" w:type="pct"/>
            <w:tcBorders>
              <w:top w:val="nil"/>
              <w:left w:val="nil"/>
              <w:bottom w:val="single" w:sz="5" w:space="0" w:color="000000"/>
              <w:right w:val="nil"/>
            </w:tcBorders>
          </w:tcPr>
          <w:p w14:paraId="6BC14616"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0.23</w:t>
            </w:r>
          </w:p>
        </w:tc>
        <w:tc>
          <w:tcPr>
            <w:tcW w:w="354" w:type="pct"/>
            <w:tcBorders>
              <w:top w:val="nil"/>
              <w:left w:val="nil"/>
              <w:bottom w:val="single" w:sz="5" w:space="0" w:color="000000"/>
              <w:right w:val="nil"/>
            </w:tcBorders>
          </w:tcPr>
          <w:p w14:paraId="70AAB03A"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15.3</w:t>
            </w:r>
          </w:p>
        </w:tc>
        <w:tc>
          <w:tcPr>
            <w:tcW w:w="346" w:type="pct"/>
            <w:tcBorders>
              <w:top w:val="nil"/>
              <w:left w:val="nil"/>
              <w:bottom w:val="single" w:sz="5" w:space="0" w:color="000000"/>
              <w:right w:val="nil"/>
            </w:tcBorders>
          </w:tcPr>
          <w:p w14:paraId="5F37932F"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8.04</w:t>
            </w:r>
          </w:p>
        </w:tc>
        <w:tc>
          <w:tcPr>
            <w:tcW w:w="354" w:type="pct"/>
            <w:tcBorders>
              <w:top w:val="nil"/>
              <w:left w:val="nil"/>
              <w:bottom w:val="single" w:sz="5" w:space="0" w:color="000000"/>
              <w:right w:val="nil"/>
            </w:tcBorders>
          </w:tcPr>
          <w:p w14:paraId="7216647D"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0.05</w:t>
            </w:r>
          </w:p>
        </w:tc>
        <w:tc>
          <w:tcPr>
            <w:tcW w:w="354" w:type="pct"/>
            <w:tcBorders>
              <w:top w:val="nil"/>
              <w:left w:val="nil"/>
              <w:bottom w:val="single" w:sz="5" w:space="0" w:color="000000"/>
              <w:right w:val="nil"/>
            </w:tcBorders>
          </w:tcPr>
          <w:p w14:paraId="6019F742"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18.5</w:t>
            </w:r>
          </w:p>
        </w:tc>
        <w:tc>
          <w:tcPr>
            <w:tcW w:w="346" w:type="pct"/>
            <w:tcBorders>
              <w:top w:val="nil"/>
              <w:left w:val="nil"/>
              <w:bottom w:val="single" w:sz="5" w:space="0" w:color="000000"/>
              <w:right w:val="nil"/>
            </w:tcBorders>
          </w:tcPr>
          <w:p w14:paraId="5F2F95E3"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7.34</w:t>
            </w:r>
          </w:p>
        </w:tc>
        <w:tc>
          <w:tcPr>
            <w:tcW w:w="354" w:type="pct"/>
            <w:tcBorders>
              <w:top w:val="nil"/>
              <w:left w:val="nil"/>
              <w:bottom w:val="single" w:sz="5" w:space="0" w:color="000000"/>
              <w:right w:val="nil"/>
            </w:tcBorders>
          </w:tcPr>
          <w:p w14:paraId="3F96096B"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0.06</w:t>
            </w:r>
          </w:p>
        </w:tc>
        <w:tc>
          <w:tcPr>
            <w:tcW w:w="355" w:type="pct"/>
            <w:tcBorders>
              <w:top w:val="nil"/>
              <w:left w:val="nil"/>
              <w:bottom w:val="single" w:sz="5" w:space="0" w:color="000000"/>
              <w:right w:val="nil"/>
            </w:tcBorders>
          </w:tcPr>
          <w:p w14:paraId="79F4338C"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14.3</w:t>
            </w:r>
          </w:p>
        </w:tc>
        <w:tc>
          <w:tcPr>
            <w:tcW w:w="346" w:type="pct"/>
            <w:tcBorders>
              <w:top w:val="nil"/>
              <w:left w:val="nil"/>
              <w:bottom w:val="single" w:sz="5" w:space="0" w:color="000000"/>
              <w:right w:val="nil"/>
            </w:tcBorders>
          </w:tcPr>
          <w:p w14:paraId="286A6E5B"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8.17</w:t>
            </w:r>
          </w:p>
        </w:tc>
        <w:tc>
          <w:tcPr>
            <w:tcW w:w="354" w:type="pct"/>
            <w:tcBorders>
              <w:top w:val="nil"/>
              <w:left w:val="nil"/>
              <w:bottom w:val="single" w:sz="5" w:space="0" w:color="000000"/>
              <w:right w:val="nil"/>
            </w:tcBorders>
          </w:tcPr>
          <w:p w14:paraId="16187380" w14:textId="77777777" w:rsidR="00B47268" w:rsidRPr="00670FA1" w:rsidRDefault="00B47268" w:rsidP="00B47268">
            <w:pPr>
              <w:spacing w:line="259" w:lineRule="auto"/>
              <w:ind w:left="116"/>
              <w:jc w:val="center"/>
              <w:rPr>
                <w:rFonts w:eastAsia="Cambria" w:cstheme="minorHAnsi"/>
                <w:color w:val="000000"/>
                <w:sz w:val="18"/>
                <w:szCs w:val="18"/>
              </w:rPr>
            </w:pPr>
            <w:r w:rsidRPr="00670FA1">
              <w:rPr>
                <w:rFonts w:eastAsia="Cambria" w:cstheme="minorHAnsi"/>
                <w:color w:val="000000"/>
                <w:sz w:val="18"/>
                <w:szCs w:val="18"/>
              </w:rPr>
              <w:t>0.16</w:t>
            </w:r>
          </w:p>
        </w:tc>
        <w:tc>
          <w:tcPr>
            <w:tcW w:w="355" w:type="pct"/>
            <w:tcBorders>
              <w:top w:val="nil"/>
              <w:left w:val="nil"/>
              <w:bottom w:val="single" w:sz="5" w:space="0" w:color="000000"/>
              <w:right w:val="nil"/>
            </w:tcBorders>
          </w:tcPr>
          <w:p w14:paraId="4313B231" w14:textId="77777777" w:rsidR="00B47268" w:rsidRPr="00670FA1" w:rsidRDefault="00B47268" w:rsidP="00B47268">
            <w:pPr>
              <w:spacing w:line="259" w:lineRule="auto"/>
              <w:ind w:left="119"/>
              <w:jc w:val="center"/>
              <w:rPr>
                <w:rFonts w:eastAsia="Cambria" w:cstheme="minorHAnsi"/>
                <w:color w:val="000000"/>
                <w:sz w:val="18"/>
                <w:szCs w:val="18"/>
              </w:rPr>
            </w:pPr>
            <w:r w:rsidRPr="00670FA1">
              <w:rPr>
                <w:rFonts w:eastAsia="Cambria" w:cstheme="minorHAnsi"/>
                <w:color w:val="000000"/>
                <w:sz w:val="18"/>
                <w:szCs w:val="18"/>
              </w:rPr>
              <w:t>14.0</w:t>
            </w:r>
          </w:p>
        </w:tc>
        <w:tc>
          <w:tcPr>
            <w:tcW w:w="222" w:type="pct"/>
            <w:tcBorders>
              <w:top w:val="nil"/>
              <w:left w:val="nil"/>
              <w:bottom w:val="single" w:sz="5" w:space="0" w:color="000000"/>
              <w:right w:val="nil"/>
            </w:tcBorders>
          </w:tcPr>
          <w:p w14:paraId="65A7E095" w14:textId="77777777" w:rsidR="00B47268" w:rsidRPr="00670FA1" w:rsidRDefault="00B47268" w:rsidP="00B47268">
            <w:pPr>
              <w:spacing w:line="259" w:lineRule="auto"/>
              <w:rPr>
                <w:rFonts w:eastAsia="Cambria" w:cstheme="minorHAnsi"/>
                <w:color w:val="000000"/>
                <w:sz w:val="18"/>
                <w:szCs w:val="18"/>
              </w:rPr>
            </w:pPr>
            <w:r w:rsidRPr="00670FA1">
              <w:rPr>
                <w:rFonts w:eastAsia="Cambria" w:cstheme="minorHAnsi"/>
                <w:color w:val="000000"/>
                <w:sz w:val="18"/>
                <w:szCs w:val="18"/>
              </w:rPr>
              <w:t>6.26</w:t>
            </w:r>
          </w:p>
        </w:tc>
      </w:tr>
    </w:tbl>
    <w:p w14:paraId="05BF5146" w14:textId="6B8362C6" w:rsidR="00BB0D77" w:rsidRPr="007719C5" w:rsidRDefault="00BB0D77" w:rsidP="007719C5">
      <w:pPr>
        <w:pStyle w:val="FootnoteText"/>
        <w:rPr>
          <w:sz w:val="18"/>
          <w:szCs w:val="18"/>
        </w:rPr>
      </w:pPr>
      <w:r w:rsidRPr="00523F76">
        <w:rPr>
          <w:sz w:val="18"/>
          <w:szCs w:val="18"/>
        </w:rPr>
        <w:t xml:space="preserve">NDVI: Normalised Difference Vegetation Index. Ox: Oxidant Capacity (Ox = [(1.07 x NO2) + (2.075 x O3)]/3.145). Greenness exposure is defined as 16-day average NDVI in the 500m buffer around patient’s residence address during follow-up. The NDVI were grouped into three </w:t>
      </w:r>
      <w:proofErr w:type="spellStart"/>
      <w:r w:rsidRPr="00523F76">
        <w:rPr>
          <w:sz w:val="18"/>
          <w:szCs w:val="18"/>
        </w:rPr>
        <w:t>tertiles</w:t>
      </w:r>
      <w:proofErr w:type="spellEnd"/>
      <w:r w:rsidRPr="00523F76">
        <w:rPr>
          <w:sz w:val="18"/>
          <w:szCs w:val="18"/>
        </w:rPr>
        <w:t xml:space="preserve"> with 692 patients in </w:t>
      </w:r>
      <w:proofErr w:type="spellStart"/>
      <w:r w:rsidRPr="00523F76">
        <w:rPr>
          <w:sz w:val="18"/>
          <w:szCs w:val="18"/>
        </w:rPr>
        <w:t>Tertile</w:t>
      </w:r>
      <w:proofErr w:type="spellEnd"/>
      <w:r w:rsidRPr="00523F76">
        <w:rPr>
          <w:sz w:val="18"/>
          <w:szCs w:val="18"/>
        </w:rPr>
        <w:t xml:space="preserve"> T1, 691 in T2 and 992 T3, respectively.</w:t>
      </w:r>
    </w:p>
    <w:p w14:paraId="14FABB45" w14:textId="24FD7E66" w:rsidR="00BB0D77" w:rsidRPr="00BB0D77" w:rsidRDefault="007719C5" w:rsidP="007719C5">
      <w:pPr>
        <w:rPr>
          <w:rFonts w:ascii="Cambria" w:eastAsia="Cambria" w:hAnsi="Cambria" w:cs="Cambria"/>
          <w:color w:val="000000"/>
          <w:sz w:val="16"/>
          <w:szCs w:val="22"/>
        </w:rPr>
      </w:pPr>
      <w:r>
        <w:rPr>
          <w:rFonts w:ascii="Cambria" w:eastAsia="Cambria" w:hAnsi="Cambria" w:cs="Cambria"/>
          <w:color w:val="000000"/>
          <w:sz w:val="16"/>
          <w:szCs w:val="22"/>
        </w:rPr>
        <w:br w:type="page"/>
      </w:r>
    </w:p>
    <w:p w14:paraId="24A53F26" w14:textId="7B651431" w:rsidR="007F2CC0" w:rsidRPr="007F2CC0" w:rsidRDefault="007F2CC0" w:rsidP="007F2CC0">
      <w:pPr>
        <w:pStyle w:val="Caption"/>
        <w:keepNext/>
        <w:rPr>
          <w:rFonts w:cstheme="minorHAnsi"/>
          <w:lang w:val="en-US"/>
        </w:rPr>
      </w:pPr>
      <w:r w:rsidRPr="007F2CC0">
        <w:rPr>
          <w:rFonts w:cstheme="minorHAnsi"/>
        </w:rPr>
        <w:lastRenderedPageBreak/>
        <w:t xml:space="preserve">Table </w:t>
      </w:r>
      <w:r w:rsidRPr="007F2CC0">
        <w:rPr>
          <w:rFonts w:cstheme="minorHAnsi"/>
        </w:rPr>
        <w:fldChar w:fldCharType="begin"/>
      </w:r>
      <w:r w:rsidRPr="007F2CC0">
        <w:rPr>
          <w:rFonts w:cstheme="minorHAnsi"/>
        </w:rPr>
        <w:instrText xml:space="preserve"> SEQ Table \* ARABIC </w:instrText>
      </w:r>
      <w:r w:rsidRPr="007F2CC0">
        <w:rPr>
          <w:rFonts w:cstheme="minorHAnsi"/>
        </w:rPr>
        <w:fldChar w:fldCharType="separate"/>
      </w:r>
      <w:r w:rsidR="00523F76">
        <w:rPr>
          <w:rFonts w:cstheme="minorHAnsi"/>
          <w:noProof/>
        </w:rPr>
        <w:t>3</w:t>
      </w:r>
      <w:r w:rsidRPr="007F2CC0">
        <w:rPr>
          <w:rFonts w:cstheme="minorHAnsi"/>
        </w:rPr>
        <w:fldChar w:fldCharType="end"/>
      </w:r>
      <w:r w:rsidRPr="007F2CC0">
        <w:rPr>
          <w:rFonts w:cstheme="minorHAnsi"/>
        </w:rPr>
        <w:t xml:space="preserve"> </w:t>
      </w:r>
      <w:r w:rsidRPr="007F2CC0">
        <w:rPr>
          <w:rFonts w:cstheme="minorHAnsi"/>
          <w:lang w:val="en-US"/>
        </w:rPr>
        <w:t>Adjusted hazard ratios (95% confidence intervals) per 10µg/m</w:t>
      </w:r>
      <w:r w:rsidRPr="007F2CC0">
        <w:rPr>
          <w:rFonts w:cstheme="minorHAnsi"/>
          <w:vertAlign w:val="superscript"/>
          <w:lang w:val="en-US"/>
        </w:rPr>
        <w:t xml:space="preserve">3 </w:t>
      </w:r>
      <w:r w:rsidRPr="007F2CC0">
        <w:rPr>
          <w:rFonts w:cstheme="minorHAnsi"/>
          <w:lang w:val="en-US"/>
        </w:rPr>
        <w:t>increase in PM</w:t>
      </w:r>
      <w:r w:rsidRPr="007F2CC0">
        <w:rPr>
          <w:rFonts w:cstheme="minorHAnsi"/>
          <w:vertAlign w:val="subscript"/>
          <w:lang w:val="en-US"/>
        </w:rPr>
        <w:t xml:space="preserve">2.5 </w:t>
      </w:r>
      <w:r w:rsidRPr="007F2CC0">
        <w:rPr>
          <w:rFonts w:cstheme="minorHAnsi"/>
          <w:lang w:val="en-US"/>
        </w:rPr>
        <w:t xml:space="preserve">associated with mortality among MDR-TB patients stratified by treatment and type of drug resistance from single-pollutant and oxidant models in the full cohort (n = 2,305) and across the three </w:t>
      </w:r>
      <w:proofErr w:type="spellStart"/>
      <w:r w:rsidRPr="007F2CC0">
        <w:rPr>
          <w:rFonts w:cstheme="minorHAnsi"/>
          <w:lang w:val="en-US"/>
        </w:rPr>
        <w:t>tertiles</w:t>
      </w:r>
      <w:proofErr w:type="spellEnd"/>
      <w:r w:rsidRPr="007F2CC0">
        <w:rPr>
          <w:rFonts w:cstheme="minorHAnsi"/>
          <w:lang w:val="en-US"/>
        </w:rPr>
        <w:t xml:space="preserve"> of greenness (</w:t>
      </w:r>
      <w:proofErr w:type="gramStart"/>
      <w:r w:rsidRPr="007F2CC0">
        <w:rPr>
          <w:rFonts w:cstheme="minorHAnsi"/>
          <w:lang w:val="en-US"/>
        </w:rPr>
        <w:t>i.e.</w:t>
      </w:r>
      <w:proofErr w:type="gramEnd"/>
      <w:r w:rsidRPr="007F2CC0">
        <w:rPr>
          <w:rFonts w:cstheme="minorHAnsi"/>
          <w:lang w:val="en-US"/>
        </w:rPr>
        <w:t xml:space="preserve"> NDVI) within the 500m buffer around patient’s residence.</w:t>
      </w:r>
    </w:p>
    <w:tbl>
      <w:tblPr>
        <w:tblW w:w="5000" w:type="pct"/>
        <w:tblCellMar>
          <w:top w:w="25" w:type="dxa"/>
          <w:left w:w="0" w:type="dxa"/>
          <w:bottom w:w="15" w:type="dxa"/>
          <w:right w:w="0" w:type="dxa"/>
        </w:tblCellMar>
        <w:tblLook w:val="04A0" w:firstRow="1" w:lastRow="0" w:firstColumn="1" w:lastColumn="0" w:noHBand="0" w:noVBand="1"/>
      </w:tblPr>
      <w:tblGrid>
        <w:gridCol w:w="1620"/>
        <w:gridCol w:w="1531"/>
        <w:gridCol w:w="1529"/>
        <w:gridCol w:w="1531"/>
        <w:gridCol w:w="1621"/>
        <w:gridCol w:w="1528"/>
      </w:tblGrid>
      <w:tr w:rsidR="00523F76" w:rsidRPr="007F2CC0" w14:paraId="14AF47C7" w14:textId="77777777" w:rsidTr="00523F76">
        <w:trPr>
          <w:trHeight w:val="20"/>
        </w:trPr>
        <w:tc>
          <w:tcPr>
            <w:tcW w:w="865" w:type="pct"/>
            <w:vMerge w:val="restart"/>
            <w:tcBorders>
              <w:top w:val="single" w:sz="5" w:space="0" w:color="000000"/>
              <w:left w:val="nil"/>
              <w:bottom w:val="single" w:sz="3" w:space="0" w:color="000000"/>
              <w:right w:val="nil"/>
            </w:tcBorders>
          </w:tcPr>
          <w:p w14:paraId="00191FF8" w14:textId="77777777" w:rsidR="00B47268" w:rsidRPr="007F2CC0" w:rsidRDefault="00B47268" w:rsidP="00B47268">
            <w:pPr>
              <w:spacing w:after="65" w:line="263" w:lineRule="auto"/>
              <w:rPr>
                <w:rFonts w:eastAsia="Cambria" w:cstheme="minorHAnsi"/>
                <w:color w:val="000000"/>
                <w:sz w:val="18"/>
                <w:szCs w:val="18"/>
                <w:lang w:val="en-US"/>
              </w:rPr>
            </w:pPr>
          </w:p>
        </w:tc>
        <w:tc>
          <w:tcPr>
            <w:tcW w:w="818" w:type="pct"/>
            <w:tcBorders>
              <w:top w:val="single" w:sz="5" w:space="0" w:color="000000"/>
              <w:left w:val="nil"/>
              <w:bottom w:val="single" w:sz="3" w:space="0" w:color="000000"/>
              <w:right w:val="nil"/>
            </w:tcBorders>
            <w:vAlign w:val="center"/>
          </w:tcPr>
          <w:p w14:paraId="54C38656" w14:textId="31927E1E" w:rsidR="00B47268" w:rsidRPr="007F2CC0" w:rsidRDefault="00B47268" w:rsidP="007F2CC0">
            <w:pPr>
              <w:spacing w:after="65" w:line="263" w:lineRule="auto"/>
              <w:jc w:val="center"/>
              <w:rPr>
                <w:rFonts w:eastAsia="Cambria" w:cstheme="minorHAnsi"/>
                <w:color w:val="000000"/>
                <w:sz w:val="18"/>
                <w:szCs w:val="18"/>
                <w:lang w:val="en-US"/>
              </w:rPr>
            </w:pPr>
            <w:r w:rsidRPr="007F2CC0">
              <w:rPr>
                <w:rFonts w:eastAsia="Cambria" w:cstheme="minorHAnsi"/>
                <w:b/>
                <w:color w:val="000000"/>
                <w:sz w:val="18"/>
                <w:szCs w:val="18"/>
                <w:lang w:val="en-US"/>
              </w:rPr>
              <w:t>All cases</w:t>
            </w:r>
          </w:p>
        </w:tc>
        <w:tc>
          <w:tcPr>
            <w:tcW w:w="817" w:type="pct"/>
            <w:tcBorders>
              <w:top w:val="single" w:sz="5" w:space="0" w:color="000000"/>
              <w:left w:val="nil"/>
              <w:bottom w:val="single" w:sz="3" w:space="0" w:color="000000"/>
              <w:right w:val="nil"/>
            </w:tcBorders>
            <w:vAlign w:val="center"/>
          </w:tcPr>
          <w:p w14:paraId="30B69134" w14:textId="68D9B36E" w:rsidR="00B47268" w:rsidRPr="007719C5" w:rsidRDefault="00B47268" w:rsidP="007719C5">
            <w:r w:rsidRPr="007F2CC0">
              <w:rPr>
                <w:rFonts w:eastAsia="Cambria" w:cstheme="minorHAnsi"/>
                <w:b/>
                <w:color w:val="000000"/>
                <w:sz w:val="18"/>
                <w:szCs w:val="18"/>
                <w:lang w:val="en-US"/>
              </w:rPr>
              <w:t>Treated</w:t>
            </w:r>
            <w:r w:rsidR="007719C5" w:rsidRPr="007719C5">
              <w:rPr>
                <w:rFonts w:ascii="Arial" w:hAnsi="Arial"/>
                <w:color w:val="666666"/>
                <w:vertAlign w:val="superscript"/>
              </w:rPr>
              <w:t>*</w:t>
            </w:r>
          </w:p>
        </w:tc>
        <w:tc>
          <w:tcPr>
            <w:tcW w:w="818" w:type="pct"/>
            <w:tcBorders>
              <w:top w:val="single" w:sz="5" w:space="0" w:color="000000"/>
              <w:left w:val="nil"/>
              <w:bottom w:val="single" w:sz="3" w:space="0" w:color="000000"/>
              <w:right w:val="nil"/>
            </w:tcBorders>
            <w:vAlign w:val="center"/>
          </w:tcPr>
          <w:p w14:paraId="66ED4A29" w14:textId="4A6B6488" w:rsidR="00B47268" w:rsidRPr="007F2CC0" w:rsidRDefault="00B47268" w:rsidP="007F2CC0">
            <w:pPr>
              <w:spacing w:after="65" w:line="263" w:lineRule="auto"/>
              <w:jc w:val="center"/>
              <w:rPr>
                <w:rFonts w:eastAsia="Cambria" w:cstheme="minorHAnsi"/>
                <w:color w:val="000000"/>
                <w:sz w:val="18"/>
                <w:szCs w:val="18"/>
                <w:lang w:val="en-US"/>
              </w:rPr>
            </w:pPr>
            <w:r w:rsidRPr="007F2CC0">
              <w:rPr>
                <w:rFonts w:eastAsia="Cambria" w:cstheme="minorHAnsi"/>
                <w:b/>
                <w:color w:val="000000"/>
                <w:sz w:val="18"/>
                <w:szCs w:val="18"/>
                <w:lang w:val="en-US"/>
              </w:rPr>
              <w:t>Untreated</w:t>
            </w:r>
          </w:p>
        </w:tc>
        <w:tc>
          <w:tcPr>
            <w:tcW w:w="866" w:type="pct"/>
            <w:tcBorders>
              <w:top w:val="single" w:sz="5" w:space="0" w:color="000000"/>
              <w:left w:val="nil"/>
              <w:bottom w:val="single" w:sz="3" w:space="0" w:color="000000"/>
              <w:right w:val="nil"/>
            </w:tcBorders>
            <w:vAlign w:val="center"/>
          </w:tcPr>
          <w:p w14:paraId="3842F1AB" w14:textId="34E7583A" w:rsidR="00B47268" w:rsidRPr="007719C5" w:rsidRDefault="00B47268" w:rsidP="007719C5">
            <w:r w:rsidRPr="007F2CC0">
              <w:rPr>
                <w:rFonts w:eastAsia="Cambria" w:cstheme="minorHAnsi"/>
                <w:b/>
                <w:color w:val="000000"/>
                <w:sz w:val="18"/>
                <w:szCs w:val="18"/>
                <w:lang w:val="en-US"/>
              </w:rPr>
              <w:t>Primary resistance</w:t>
            </w:r>
            <w:r w:rsidR="007719C5" w:rsidRPr="007719C5">
              <w:rPr>
                <w:rFonts w:ascii="Arial" w:hAnsi="Arial"/>
                <w:color w:val="666666"/>
                <w:vertAlign w:val="superscript"/>
              </w:rPr>
              <w:t>†</w:t>
            </w:r>
          </w:p>
        </w:tc>
        <w:tc>
          <w:tcPr>
            <w:tcW w:w="816" w:type="pct"/>
            <w:tcBorders>
              <w:top w:val="single" w:sz="5" w:space="0" w:color="000000"/>
              <w:left w:val="nil"/>
              <w:bottom w:val="single" w:sz="3" w:space="0" w:color="000000"/>
              <w:right w:val="nil"/>
            </w:tcBorders>
            <w:vAlign w:val="center"/>
          </w:tcPr>
          <w:p w14:paraId="7B3E00BD" w14:textId="77777777" w:rsidR="00B47268" w:rsidRPr="007F2CC0" w:rsidRDefault="00B47268" w:rsidP="007F2CC0">
            <w:pPr>
              <w:spacing w:after="65" w:line="263" w:lineRule="auto"/>
              <w:jc w:val="center"/>
              <w:rPr>
                <w:rFonts w:eastAsia="Cambria" w:cstheme="minorHAnsi"/>
                <w:color w:val="000000"/>
                <w:sz w:val="18"/>
                <w:szCs w:val="18"/>
                <w:lang w:val="en-US"/>
              </w:rPr>
            </w:pPr>
            <w:r w:rsidRPr="007F2CC0">
              <w:rPr>
                <w:rFonts w:eastAsia="Cambria" w:cstheme="minorHAnsi"/>
                <w:b/>
                <w:color w:val="000000"/>
                <w:sz w:val="18"/>
                <w:szCs w:val="18"/>
                <w:lang w:val="en-US"/>
              </w:rPr>
              <w:t>Acquired resistance</w:t>
            </w:r>
          </w:p>
        </w:tc>
      </w:tr>
      <w:tr w:rsidR="00523F76" w:rsidRPr="007F2CC0" w14:paraId="1068F413" w14:textId="77777777" w:rsidTr="00523F76">
        <w:trPr>
          <w:trHeight w:val="20"/>
        </w:trPr>
        <w:tc>
          <w:tcPr>
            <w:tcW w:w="865" w:type="pct"/>
            <w:vMerge/>
            <w:tcBorders>
              <w:top w:val="nil"/>
              <w:left w:val="nil"/>
              <w:bottom w:val="single" w:sz="4" w:space="0" w:color="000000"/>
              <w:right w:val="nil"/>
            </w:tcBorders>
          </w:tcPr>
          <w:p w14:paraId="23614D2D" w14:textId="77777777" w:rsidR="00B47268" w:rsidRPr="007F2CC0" w:rsidRDefault="00B47268" w:rsidP="00B47268">
            <w:pPr>
              <w:spacing w:after="65" w:line="263" w:lineRule="auto"/>
              <w:rPr>
                <w:rFonts w:eastAsia="Cambria" w:cstheme="minorHAnsi"/>
                <w:color w:val="000000"/>
                <w:sz w:val="18"/>
                <w:szCs w:val="18"/>
                <w:lang w:val="en-US"/>
              </w:rPr>
            </w:pPr>
          </w:p>
        </w:tc>
        <w:tc>
          <w:tcPr>
            <w:tcW w:w="818" w:type="pct"/>
            <w:tcBorders>
              <w:top w:val="nil"/>
              <w:left w:val="nil"/>
              <w:bottom w:val="single" w:sz="4" w:space="0" w:color="000000"/>
              <w:right w:val="nil"/>
            </w:tcBorders>
            <w:vAlign w:val="center"/>
          </w:tcPr>
          <w:p w14:paraId="66DA6D72" w14:textId="39AA8569" w:rsidR="00B47268" w:rsidRPr="007F2CC0" w:rsidRDefault="00B47268" w:rsidP="007F2CC0">
            <w:pPr>
              <w:spacing w:after="65" w:line="263" w:lineRule="auto"/>
              <w:jc w:val="center"/>
              <w:rPr>
                <w:rFonts w:eastAsia="Cambria" w:cstheme="minorHAnsi"/>
                <w:color w:val="000000"/>
                <w:sz w:val="18"/>
                <w:szCs w:val="18"/>
                <w:lang w:val="en-US"/>
              </w:rPr>
            </w:pPr>
            <w:r w:rsidRPr="007F2CC0">
              <w:rPr>
                <w:rFonts w:eastAsia="Cambria" w:cstheme="minorHAnsi"/>
                <w:color w:val="000000"/>
                <w:sz w:val="18"/>
                <w:szCs w:val="18"/>
                <w:lang w:val="en-US"/>
              </w:rPr>
              <w:t>n=2305</w:t>
            </w:r>
          </w:p>
        </w:tc>
        <w:tc>
          <w:tcPr>
            <w:tcW w:w="817" w:type="pct"/>
            <w:tcBorders>
              <w:top w:val="nil"/>
              <w:left w:val="nil"/>
              <w:bottom w:val="single" w:sz="4" w:space="0" w:color="000000"/>
              <w:right w:val="nil"/>
            </w:tcBorders>
            <w:vAlign w:val="center"/>
          </w:tcPr>
          <w:p w14:paraId="64A58DCC" w14:textId="6C635CF2" w:rsidR="00B47268" w:rsidRPr="007F2CC0" w:rsidRDefault="006379BE" w:rsidP="007F2CC0">
            <w:pPr>
              <w:spacing w:after="65" w:line="263" w:lineRule="auto"/>
              <w:jc w:val="center"/>
              <w:rPr>
                <w:rFonts w:eastAsia="Cambria" w:cstheme="minorHAnsi"/>
                <w:color w:val="000000"/>
                <w:sz w:val="18"/>
                <w:szCs w:val="18"/>
                <w:lang w:val="en-US"/>
              </w:rPr>
            </w:pPr>
            <w:r>
              <w:rPr>
                <w:rFonts w:eastAsia="Cambria" w:cstheme="minorHAnsi"/>
                <w:color w:val="000000"/>
                <w:sz w:val="18"/>
                <w:szCs w:val="18"/>
                <w:lang w:val="en-US"/>
              </w:rPr>
              <w:t>n=1,7</w:t>
            </w:r>
            <w:r w:rsidR="00B47268" w:rsidRPr="007F2CC0">
              <w:rPr>
                <w:rFonts w:eastAsia="Cambria" w:cstheme="minorHAnsi"/>
                <w:color w:val="000000"/>
                <w:sz w:val="18"/>
                <w:szCs w:val="18"/>
                <w:lang w:val="en-US"/>
              </w:rPr>
              <w:t>1</w:t>
            </w:r>
            <w:r>
              <w:rPr>
                <w:rFonts w:eastAsia="Cambria" w:cstheme="minorHAnsi"/>
                <w:color w:val="000000"/>
                <w:sz w:val="18"/>
                <w:szCs w:val="18"/>
                <w:lang w:val="en-US"/>
              </w:rPr>
              <w:t>6</w:t>
            </w:r>
          </w:p>
        </w:tc>
        <w:tc>
          <w:tcPr>
            <w:tcW w:w="818" w:type="pct"/>
            <w:tcBorders>
              <w:top w:val="nil"/>
              <w:left w:val="nil"/>
              <w:bottom w:val="single" w:sz="4" w:space="0" w:color="000000"/>
              <w:right w:val="nil"/>
            </w:tcBorders>
            <w:vAlign w:val="center"/>
          </w:tcPr>
          <w:p w14:paraId="3E3DADB7" w14:textId="169ADC08" w:rsidR="00B47268" w:rsidRPr="007F2CC0" w:rsidRDefault="00B47268" w:rsidP="007F2CC0">
            <w:pPr>
              <w:spacing w:after="65" w:line="263" w:lineRule="auto"/>
              <w:jc w:val="center"/>
              <w:rPr>
                <w:rFonts w:eastAsia="Cambria" w:cstheme="minorHAnsi"/>
                <w:color w:val="000000"/>
                <w:sz w:val="18"/>
                <w:szCs w:val="18"/>
                <w:lang w:val="en-US"/>
              </w:rPr>
            </w:pPr>
            <w:r w:rsidRPr="007F2CC0">
              <w:rPr>
                <w:rFonts w:eastAsia="Cambria" w:cstheme="minorHAnsi"/>
                <w:color w:val="000000"/>
                <w:sz w:val="18"/>
                <w:szCs w:val="18"/>
                <w:lang w:val="en-US"/>
              </w:rPr>
              <w:t>n=589</w:t>
            </w:r>
          </w:p>
        </w:tc>
        <w:tc>
          <w:tcPr>
            <w:tcW w:w="866" w:type="pct"/>
            <w:tcBorders>
              <w:top w:val="single" w:sz="3" w:space="0" w:color="000000"/>
              <w:left w:val="nil"/>
              <w:bottom w:val="single" w:sz="4" w:space="0" w:color="000000"/>
              <w:right w:val="nil"/>
            </w:tcBorders>
            <w:vAlign w:val="center"/>
          </w:tcPr>
          <w:p w14:paraId="5F3E20D1" w14:textId="77777777" w:rsidR="00B47268" w:rsidRPr="007F2CC0" w:rsidRDefault="00B47268" w:rsidP="007F2CC0">
            <w:pPr>
              <w:spacing w:after="65" w:line="263" w:lineRule="auto"/>
              <w:jc w:val="center"/>
              <w:rPr>
                <w:rFonts w:eastAsia="Cambria" w:cstheme="minorHAnsi"/>
                <w:color w:val="000000"/>
                <w:sz w:val="18"/>
                <w:szCs w:val="18"/>
                <w:lang w:val="en-US"/>
              </w:rPr>
            </w:pPr>
            <w:r w:rsidRPr="007F2CC0">
              <w:rPr>
                <w:rFonts w:eastAsia="Cambria" w:cstheme="minorHAnsi"/>
                <w:color w:val="000000"/>
                <w:sz w:val="18"/>
                <w:szCs w:val="18"/>
                <w:lang w:val="en-US"/>
              </w:rPr>
              <w:t>n=770</w:t>
            </w:r>
          </w:p>
        </w:tc>
        <w:tc>
          <w:tcPr>
            <w:tcW w:w="816" w:type="pct"/>
            <w:tcBorders>
              <w:top w:val="single" w:sz="3" w:space="0" w:color="000000"/>
              <w:left w:val="nil"/>
              <w:bottom w:val="single" w:sz="4" w:space="0" w:color="000000"/>
              <w:right w:val="nil"/>
            </w:tcBorders>
            <w:vAlign w:val="center"/>
          </w:tcPr>
          <w:p w14:paraId="6D7DDBDF" w14:textId="77777777" w:rsidR="00B47268" w:rsidRPr="007F2CC0" w:rsidRDefault="00B47268" w:rsidP="007F2CC0">
            <w:pPr>
              <w:spacing w:after="65" w:line="263" w:lineRule="auto"/>
              <w:jc w:val="center"/>
              <w:rPr>
                <w:rFonts w:eastAsia="Cambria" w:cstheme="minorHAnsi"/>
                <w:color w:val="000000"/>
                <w:sz w:val="18"/>
                <w:szCs w:val="18"/>
                <w:lang w:val="en-US"/>
              </w:rPr>
            </w:pPr>
            <w:r w:rsidRPr="007F2CC0">
              <w:rPr>
                <w:rFonts w:eastAsia="Cambria" w:cstheme="minorHAnsi"/>
                <w:color w:val="000000"/>
                <w:sz w:val="18"/>
                <w:szCs w:val="18"/>
                <w:lang w:val="en-US"/>
              </w:rPr>
              <w:t>n=1,535</w:t>
            </w:r>
          </w:p>
        </w:tc>
      </w:tr>
      <w:tr w:rsidR="007F2CC0" w:rsidRPr="007F2CC0" w14:paraId="13DB862D" w14:textId="77777777" w:rsidTr="00523F76">
        <w:trPr>
          <w:trHeight w:val="217"/>
        </w:trPr>
        <w:tc>
          <w:tcPr>
            <w:tcW w:w="865" w:type="pct"/>
            <w:tcBorders>
              <w:top w:val="single" w:sz="4" w:space="0" w:color="000000"/>
              <w:right w:val="nil"/>
            </w:tcBorders>
          </w:tcPr>
          <w:p w14:paraId="2459EC02" w14:textId="6DD37C58" w:rsidR="007F2CC0" w:rsidRPr="007F2CC0" w:rsidRDefault="007F2CC0" w:rsidP="00B47268">
            <w:pPr>
              <w:spacing w:after="65" w:line="263" w:lineRule="auto"/>
              <w:rPr>
                <w:rFonts w:eastAsia="Cambria" w:cstheme="minorHAnsi"/>
                <w:color w:val="000000"/>
                <w:sz w:val="18"/>
                <w:szCs w:val="18"/>
                <w:lang w:val="en-US"/>
              </w:rPr>
            </w:pPr>
            <w:r w:rsidRPr="007F2CC0">
              <w:rPr>
                <w:rFonts w:eastAsia="Cambria" w:cstheme="minorHAnsi"/>
                <w:b/>
                <w:color w:val="000000"/>
                <w:sz w:val="18"/>
                <w:szCs w:val="18"/>
                <w:lang w:val="en-US"/>
              </w:rPr>
              <w:t>Single-pollutant Model</w:t>
            </w:r>
          </w:p>
        </w:tc>
        <w:tc>
          <w:tcPr>
            <w:tcW w:w="818" w:type="pct"/>
            <w:tcBorders>
              <w:top w:val="single" w:sz="4" w:space="0" w:color="000000"/>
              <w:left w:val="nil"/>
              <w:right w:val="nil"/>
            </w:tcBorders>
            <w:vAlign w:val="bottom"/>
          </w:tcPr>
          <w:p w14:paraId="28BFD29C" w14:textId="77777777" w:rsidR="007F2CC0" w:rsidRPr="007F2CC0" w:rsidRDefault="007F2CC0" w:rsidP="00B47268">
            <w:pPr>
              <w:spacing w:after="65" w:line="263" w:lineRule="auto"/>
              <w:rPr>
                <w:rFonts w:eastAsia="Cambria" w:cstheme="minorHAnsi"/>
                <w:color w:val="000000"/>
                <w:sz w:val="18"/>
                <w:szCs w:val="18"/>
                <w:lang w:val="en-US"/>
              </w:rPr>
            </w:pPr>
          </w:p>
        </w:tc>
        <w:tc>
          <w:tcPr>
            <w:tcW w:w="817" w:type="pct"/>
            <w:tcBorders>
              <w:top w:val="single" w:sz="4" w:space="0" w:color="000000"/>
              <w:left w:val="nil"/>
              <w:right w:val="nil"/>
            </w:tcBorders>
            <w:vAlign w:val="bottom"/>
          </w:tcPr>
          <w:p w14:paraId="61FF61E4" w14:textId="77777777" w:rsidR="007F2CC0" w:rsidRPr="007F2CC0" w:rsidRDefault="007F2CC0" w:rsidP="00B47268">
            <w:pPr>
              <w:spacing w:after="65" w:line="263" w:lineRule="auto"/>
              <w:rPr>
                <w:rFonts w:eastAsia="Cambria" w:cstheme="minorHAnsi"/>
                <w:color w:val="000000"/>
                <w:sz w:val="18"/>
                <w:szCs w:val="18"/>
                <w:lang w:val="en-US"/>
              </w:rPr>
            </w:pPr>
          </w:p>
        </w:tc>
        <w:tc>
          <w:tcPr>
            <w:tcW w:w="818" w:type="pct"/>
            <w:tcBorders>
              <w:top w:val="single" w:sz="4" w:space="0" w:color="000000"/>
              <w:left w:val="nil"/>
              <w:right w:val="nil"/>
            </w:tcBorders>
            <w:vAlign w:val="bottom"/>
          </w:tcPr>
          <w:p w14:paraId="1D5B6303" w14:textId="77777777" w:rsidR="007F2CC0" w:rsidRPr="007F2CC0" w:rsidRDefault="007F2CC0" w:rsidP="00B47268">
            <w:pPr>
              <w:spacing w:after="65" w:line="263" w:lineRule="auto"/>
              <w:rPr>
                <w:rFonts w:eastAsia="Cambria" w:cstheme="minorHAnsi"/>
                <w:color w:val="000000"/>
                <w:sz w:val="18"/>
                <w:szCs w:val="18"/>
                <w:lang w:val="en-US"/>
              </w:rPr>
            </w:pPr>
          </w:p>
        </w:tc>
        <w:tc>
          <w:tcPr>
            <w:tcW w:w="866" w:type="pct"/>
            <w:tcBorders>
              <w:top w:val="single" w:sz="4" w:space="0" w:color="000000"/>
              <w:left w:val="nil"/>
              <w:right w:val="nil"/>
            </w:tcBorders>
            <w:vAlign w:val="bottom"/>
          </w:tcPr>
          <w:p w14:paraId="55F2353E" w14:textId="77777777" w:rsidR="007F2CC0" w:rsidRPr="007F2CC0" w:rsidRDefault="007F2CC0" w:rsidP="00B47268">
            <w:pPr>
              <w:spacing w:after="65" w:line="263" w:lineRule="auto"/>
              <w:rPr>
                <w:rFonts w:eastAsia="Cambria" w:cstheme="minorHAnsi"/>
                <w:color w:val="000000"/>
                <w:sz w:val="18"/>
                <w:szCs w:val="18"/>
                <w:lang w:val="en-US"/>
              </w:rPr>
            </w:pPr>
          </w:p>
        </w:tc>
        <w:tc>
          <w:tcPr>
            <w:tcW w:w="816" w:type="pct"/>
            <w:tcBorders>
              <w:top w:val="single" w:sz="4" w:space="0" w:color="000000"/>
              <w:left w:val="nil"/>
              <w:right w:val="nil"/>
            </w:tcBorders>
            <w:vAlign w:val="bottom"/>
          </w:tcPr>
          <w:p w14:paraId="47F16C7B" w14:textId="77777777" w:rsidR="007F2CC0" w:rsidRPr="007F2CC0" w:rsidRDefault="007F2CC0" w:rsidP="00B47268">
            <w:pPr>
              <w:spacing w:after="65" w:line="263" w:lineRule="auto"/>
              <w:rPr>
                <w:rFonts w:eastAsia="Cambria" w:cstheme="minorHAnsi"/>
                <w:color w:val="000000"/>
                <w:sz w:val="18"/>
                <w:szCs w:val="18"/>
                <w:lang w:val="en-US"/>
              </w:rPr>
            </w:pPr>
          </w:p>
        </w:tc>
      </w:tr>
      <w:tr w:rsidR="00523F76" w:rsidRPr="007F2CC0" w14:paraId="769B9A83" w14:textId="77777777" w:rsidTr="004D03A6">
        <w:trPr>
          <w:trHeight w:val="236"/>
        </w:trPr>
        <w:tc>
          <w:tcPr>
            <w:tcW w:w="865" w:type="pct"/>
            <w:tcBorders>
              <w:left w:val="nil"/>
              <w:bottom w:val="nil"/>
              <w:right w:val="nil"/>
            </w:tcBorders>
            <w:vAlign w:val="center"/>
          </w:tcPr>
          <w:p w14:paraId="287991E5" w14:textId="77777777" w:rsidR="00B47268" w:rsidRPr="007F2CC0" w:rsidRDefault="00B47268" w:rsidP="00523F76">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Full cohort</w:t>
            </w:r>
          </w:p>
        </w:tc>
        <w:tc>
          <w:tcPr>
            <w:tcW w:w="818" w:type="pct"/>
            <w:tcBorders>
              <w:left w:val="nil"/>
              <w:bottom w:val="nil"/>
              <w:right w:val="nil"/>
            </w:tcBorders>
            <w:vAlign w:val="bottom"/>
          </w:tcPr>
          <w:p w14:paraId="5ADECFF0"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1.581 (1.567, 1.595)</w:t>
            </w:r>
          </w:p>
        </w:tc>
        <w:tc>
          <w:tcPr>
            <w:tcW w:w="817" w:type="pct"/>
            <w:tcBorders>
              <w:left w:val="nil"/>
              <w:bottom w:val="nil"/>
              <w:right w:val="nil"/>
            </w:tcBorders>
            <w:vAlign w:val="bottom"/>
          </w:tcPr>
          <w:p w14:paraId="30DC0A8C" w14:textId="6B2FB7BD"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1.660 (1.620, 1.700)</w:t>
            </w:r>
          </w:p>
        </w:tc>
        <w:tc>
          <w:tcPr>
            <w:tcW w:w="818" w:type="pct"/>
            <w:tcBorders>
              <w:left w:val="nil"/>
              <w:bottom w:val="nil"/>
              <w:right w:val="nil"/>
            </w:tcBorders>
            <w:vAlign w:val="bottom"/>
          </w:tcPr>
          <w:p w14:paraId="048D66F8"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1.498 (1.476, 1.521)</w:t>
            </w:r>
          </w:p>
        </w:tc>
        <w:tc>
          <w:tcPr>
            <w:tcW w:w="866" w:type="pct"/>
            <w:tcBorders>
              <w:left w:val="nil"/>
              <w:bottom w:val="nil"/>
              <w:right w:val="nil"/>
            </w:tcBorders>
            <w:vAlign w:val="bottom"/>
          </w:tcPr>
          <w:p w14:paraId="3FB3DDDC"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1.453 (1.421, 1.486)</w:t>
            </w:r>
          </w:p>
        </w:tc>
        <w:tc>
          <w:tcPr>
            <w:tcW w:w="816" w:type="pct"/>
            <w:tcBorders>
              <w:left w:val="nil"/>
              <w:bottom w:val="nil"/>
              <w:right w:val="nil"/>
            </w:tcBorders>
            <w:vAlign w:val="bottom"/>
          </w:tcPr>
          <w:p w14:paraId="72530960"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1.638 (1.623, 1.654)</w:t>
            </w:r>
          </w:p>
        </w:tc>
      </w:tr>
      <w:tr w:rsidR="00B47268" w:rsidRPr="007F2CC0" w14:paraId="080DA32F" w14:textId="77777777" w:rsidTr="004D03A6">
        <w:trPr>
          <w:trHeight w:val="35"/>
        </w:trPr>
        <w:tc>
          <w:tcPr>
            <w:tcW w:w="865" w:type="pct"/>
            <w:tcBorders>
              <w:top w:val="nil"/>
              <w:left w:val="nil"/>
              <w:bottom w:val="nil"/>
              <w:right w:val="nil"/>
            </w:tcBorders>
          </w:tcPr>
          <w:p w14:paraId="4A83907F" w14:textId="77777777" w:rsidR="00B47268" w:rsidRPr="007F2CC0" w:rsidRDefault="00B47268" w:rsidP="00B47268">
            <w:pPr>
              <w:spacing w:after="65" w:line="263" w:lineRule="auto"/>
              <w:rPr>
                <w:rFonts w:eastAsia="Cambria" w:cstheme="minorHAnsi"/>
                <w:color w:val="000000"/>
                <w:sz w:val="18"/>
                <w:szCs w:val="18"/>
                <w:lang w:val="en-US"/>
              </w:rPr>
            </w:pPr>
            <w:proofErr w:type="spellStart"/>
            <w:r w:rsidRPr="007F2CC0">
              <w:rPr>
                <w:rFonts w:eastAsia="Cambria" w:cstheme="minorHAnsi"/>
                <w:color w:val="000000"/>
                <w:sz w:val="18"/>
                <w:szCs w:val="18"/>
                <w:lang w:val="en-US"/>
              </w:rPr>
              <w:t>Tertile</w:t>
            </w:r>
            <w:proofErr w:type="spellEnd"/>
            <w:r w:rsidRPr="007F2CC0">
              <w:rPr>
                <w:rFonts w:eastAsia="Cambria" w:cstheme="minorHAnsi"/>
                <w:color w:val="000000"/>
                <w:sz w:val="18"/>
                <w:szCs w:val="18"/>
                <w:lang w:val="en-US"/>
              </w:rPr>
              <w:t xml:space="preserve"> 1</w:t>
            </w:r>
          </w:p>
        </w:tc>
        <w:tc>
          <w:tcPr>
            <w:tcW w:w="818" w:type="pct"/>
            <w:tcBorders>
              <w:top w:val="nil"/>
              <w:left w:val="nil"/>
              <w:bottom w:val="nil"/>
              <w:right w:val="nil"/>
            </w:tcBorders>
          </w:tcPr>
          <w:p w14:paraId="344B2A2F"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2.226 (1.880, 2.635)</w:t>
            </w:r>
          </w:p>
        </w:tc>
        <w:tc>
          <w:tcPr>
            <w:tcW w:w="817" w:type="pct"/>
            <w:tcBorders>
              <w:top w:val="nil"/>
              <w:left w:val="nil"/>
              <w:bottom w:val="nil"/>
              <w:right w:val="nil"/>
            </w:tcBorders>
          </w:tcPr>
          <w:p w14:paraId="429E22F1"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2.407 (2.063, 2.807)</w:t>
            </w:r>
          </w:p>
        </w:tc>
        <w:tc>
          <w:tcPr>
            <w:tcW w:w="818" w:type="pct"/>
            <w:tcBorders>
              <w:top w:val="nil"/>
              <w:left w:val="nil"/>
              <w:bottom w:val="nil"/>
              <w:right w:val="nil"/>
            </w:tcBorders>
          </w:tcPr>
          <w:p w14:paraId="47AF5789"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2.097 (2.023, 2.173)</w:t>
            </w:r>
          </w:p>
        </w:tc>
        <w:tc>
          <w:tcPr>
            <w:tcW w:w="866" w:type="pct"/>
            <w:tcBorders>
              <w:top w:val="nil"/>
              <w:left w:val="nil"/>
              <w:bottom w:val="nil"/>
              <w:right w:val="nil"/>
            </w:tcBorders>
          </w:tcPr>
          <w:p w14:paraId="2CBDF066"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1.989 (1.647, 2.402)</w:t>
            </w:r>
          </w:p>
        </w:tc>
        <w:tc>
          <w:tcPr>
            <w:tcW w:w="816" w:type="pct"/>
            <w:tcBorders>
              <w:top w:val="nil"/>
              <w:left w:val="nil"/>
              <w:bottom w:val="nil"/>
              <w:right w:val="nil"/>
            </w:tcBorders>
          </w:tcPr>
          <w:p w14:paraId="0DBC336D"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2.283 (1.953, 2.667)</w:t>
            </w:r>
          </w:p>
        </w:tc>
      </w:tr>
      <w:tr w:rsidR="00B47268" w:rsidRPr="007F2CC0" w14:paraId="0BA01B5C" w14:textId="77777777" w:rsidTr="00523F76">
        <w:trPr>
          <w:trHeight w:val="199"/>
        </w:trPr>
        <w:tc>
          <w:tcPr>
            <w:tcW w:w="865" w:type="pct"/>
            <w:tcBorders>
              <w:top w:val="nil"/>
              <w:left w:val="nil"/>
              <w:bottom w:val="nil"/>
              <w:right w:val="nil"/>
            </w:tcBorders>
          </w:tcPr>
          <w:p w14:paraId="0E39F999" w14:textId="77777777" w:rsidR="00B47268" w:rsidRPr="007F2CC0" w:rsidRDefault="00B47268" w:rsidP="00B47268">
            <w:pPr>
              <w:spacing w:after="65" w:line="263" w:lineRule="auto"/>
              <w:rPr>
                <w:rFonts w:eastAsia="Cambria" w:cstheme="minorHAnsi"/>
                <w:color w:val="000000"/>
                <w:sz w:val="18"/>
                <w:szCs w:val="18"/>
                <w:lang w:val="en-US"/>
              </w:rPr>
            </w:pPr>
            <w:proofErr w:type="spellStart"/>
            <w:r w:rsidRPr="007F2CC0">
              <w:rPr>
                <w:rFonts w:eastAsia="Cambria" w:cstheme="minorHAnsi"/>
                <w:color w:val="000000"/>
                <w:sz w:val="18"/>
                <w:szCs w:val="18"/>
                <w:lang w:val="en-US"/>
              </w:rPr>
              <w:t>Tertile</w:t>
            </w:r>
            <w:proofErr w:type="spellEnd"/>
            <w:r w:rsidRPr="007F2CC0">
              <w:rPr>
                <w:rFonts w:eastAsia="Cambria" w:cstheme="minorHAnsi"/>
                <w:color w:val="000000"/>
                <w:sz w:val="18"/>
                <w:szCs w:val="18"/>
                <w:lang w:val="en-US"/>
              </w:rPr>
              <w:t xml:space="preserve"> 2</w:t>
            </w:r>
          </w:p>
        </w:tc>
        <w:tc>
          <w:tcPr>
            <w:tcW w:w="818" w:type="pct"/>
            <w:tcBorders>
              <w:top w:val="nil"/>
              <w:left w:val="nil"/>
              <w:bottom w:val="nil"/>
              <w:right w:val="nil"/>
            </w:tcBorders>
          </w:tcPr>
          <w:p w14:paraId="61292CE9"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2.085 (1.950, 2.229)</w:t>
            </w:r>
          </w:p>
        </w:tc>
        <w:tc>
          <w:tcPr>
            <w:tcW w:w="817" w:type="pct"/>
            <w:tcBorders>
              <w:top w:val="nil"/>
              <w:left w:val="nil"/>
              <w:bottom w:val="nil"/>
              <w:right w:val="nil"/>
            </w:tcBorders>
          </w:tcPr>
          <w:p w14:paraId="03ACC7AE"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2.210 (2.038, 2.397)</w:t>
            </w:r>
          </w:p>
        </w:tc>
        <w:tc>
          <w:tcPr>
            <w:tcW w:w="818" w:type="pct"/>
            <w:tcBorders>
              <w:top w:val="nil"/>
              <w:left w:val="nil"/>
              <w:bottom w:val="nil"/>
              <w:right w:val="nil"/>
            </w:tcBorders>
          </w:tcPr>
          <w:p w14:paraId="16751A4E"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2.312 (2.286, 2.337)</w:t>
            </w:r>
          </w:p>
        </w:tc>
        <w:tc>
          <w:tcPr>
            <w:tcW w:w="866" w:type="pct"/>
            <w:tcBorders>
              <w:top w:val="nil"/>
              <w:left w:val="nil"/>
              <w:bottom w:val="nil"/>
              <w:right w:val="nil"/>
            </w:tcBorders>
          </w:tcPr>
          <w:p w14:paraId="257EEFBD"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2.132 (1.707, 2.663)</w:t>
            </w:r>
          </w:p>
        </w:tc>
        <w:tc>
          <w:tcPr>
            <w:tcW w:w="816" w:type="pct"/>
            <w:tcBorders>
              <w:top w:val="nil"/>
              <w:left w:val="nil"/>
              <w:bottom w:val="nil"/>
              <w:right w:val="nil"/>
            </w:tcBorders>
          </w:tcPr>
          <w:p w14:paraId="11BFF17E"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2.082 (2.072, 2.092)</w:t>
            </w:r>
          </w:p>
        </w:tc>
      </w:tr>
      <w:tr w:rsidR="00B47268" w:rsidRPr="007F2CC0" w14:paraId="1F0297BC" w14:textId="77777777" w:rsidTr="00523F76">
        <w:trPr>
          <w:trHeight w:val="185"/>
        </w:trPr>
        <w:tc>
          <w:tcPr>
            <w:tcW w:w="865" w:type="pct"/>
            <w:tcBorders>
              <w:top w:val="nil"/>
              <w:left w:val="nil"/>
              <w:bottom w:val="nil"/>
              <w:right w:val="nil"/>
            </w:tcBorders>
          </w:tcPr>
          <w:p w14:paraId="18464ED3" w14:textId="77777777" w:rsidR="00B47268" w:rsidRPr="007F2CC0" w:rsidRDefault="00B47268" w:rsidP="00B47268">
            <w:pPr>
              <w:spacing w:after="65" w:line="263" w:lineRule="auto"/>
              <w:rPr>
                <w:rFonts w:eastAsia="Cambria" w:cstheme="minorHAnsi"/>
                <w:color w:val="000000"/>
                <w:sz w:val="18"/>
                <w:szCs w:val="18"/>
                <w:lang w:val="en-US"/>
              </w:rPr>
            </w:pPr>
            <w:proofErr w:type="spellStart"/>
            <w:r w:rsidRPr="007F2CC0">
              <w:rPr>
                <w:rFonts w:eastAsia="Cambria" w:cstheme="minorHAnsi"/>
                <w:color w:val="000000"/>
                <w:sz w:val="18"/>
                <w:szCs w:val="18"/>
                <w:lang w:val="en-US"/>
              </w:rPr>
              <w:t>Tertile</w:t>
            </w:r>
            <w:proofErr w:type="spellEnd"/>
            <w:r w:rsidRPr="007F2CC0">
              <w:rPr>
                <w:rFonts w:eastAsia="Cambria" w:cstheme="minorHAnsi"/>
                <w:color w:val="000000"/>
                <w:sz w:val="18"/>
                <w:szCs w:val="18"/>
                <w:lang w:val="en-US"/>
              </w:rPr>
              <w:t xml:space="preserve"> 3</w:t>
            </w:r>
          </w:p>
        </w:tc>
        <w:tc>
          <w:tcPr>
            <w:tcW w:w="818" w:type="pct"/>
            <w:tcBorders>
              <w:top w:val="nil"/>
              <w:left w:val="nil"/>
              <w:bottom w:val="nil"/>
              <w:right w:val="nil"/>
            </w:tcBorders>
          </w:tcPr>
          <w:p w14:paraId="5C4AA32E"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2.025 (1.976, 2.075)</w:t>
            </w:r>
          </w:p>
        </w:tc>
        <w:tc>
          <w:tcPr>
            <w:tcW w:w="817" w:type="pct"/>
            <w:tcBorders>
              <w:top w:val="nil"/>
              <w:left w:val="nil"/>
              <w:bottom w:val="nil"/>
              <w:right w:val="nil"/>
            </w:tcBorders>
          </w:tcPr>
          <w:p w14:paraId="36631432"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2.461 (2.379, 2.545)</w:t>
            </w:r>
          </w:p>
        </w:tc>
        <w:tc>
          <w:tcPr>
            <w:tcW w:w="818" w:type="pct"/>
            <w:tcBorders>
              <w:top w:val="nil"/>
              <w:left w:val="nil"/>
              <w:bottom w:val="nil"/>
              <w:right w:val="nil"/>
            </w:tcBorders>
          </w:tcPr>
          <w:p w14:paraId="120A9F01"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1.684 (1.634, 1.736)</w:t>
            </w:r>
          </w:p>
        </w:tc>
        <w:tc>
          <w:tcPr>
            <w:tcW w:w="866" w:type="pct"/>
            <w:tcBorders>
              <w:top w:val="nil"/>
              <w:left w:val="nil"/>
              <w:bottom w:val="nil"/>
              <w:right w:val="nil"/>
            </w:tcBorders>
          </w:tcPr>
          <w:p w14:paraId="3C829EDD"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1.915 (1.898, 1.932)</w:t>
            </w:r>
          </w:p>
        </w:tc>
        <w:tc>
          <w:tcPr>
            <w:tcW w:w="816" w:type="pct"/>
            <w:tcBorders>
              <w:top w:val="nil"/>
              <w:left w:val="nil"/>
              <w:bottom w:val="nil"/>
              <w:right w:val="nil"/>
            </w:tcBorders>
          </w:tcPr>
          <w:p w14:paraId="7A155248"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2.082 (2.024, 2.142)</w:t>
            </w:r>
          </w:p>
        </w:tc>
      </w:tr>
      <w:tr w:rsidR="00523F76" w:rsidRPr="007F2CC0" w14:paraId="6FA9E1AD" w14:textId="77777777" w:rsidTr="00523F76">
        <w:trPr>
          <w:trHeight w:val="227"/>
        </w:trPr>
        <w:tc>
          <w:tcPr>
            <w:tcW w:w="865" w:type="pct"/>
            <w:tcBorders>
              <w:top w:val="nil"/>
              <w:left w:val="nil"/>
              <w:bottom w:val="nil"/>
              <w:right w:val="nil"/>
            </w:tcBorders>
          </w:tcPr>
          <w:p w14:paraId="31ABCBE9" w14:textId="217BBABA" w:rsidR="00523F76" w:rsidRPr="00523F76" w:rsidRDefault="00523F76" w:rsidP="00B47268">
            <w:pPr>
              <w:spacing w:after="65" w:line="263" w:lineRule="auto"/>
              <w:rPr>
                <w:rFonts w:eastAsia="Cambria" w:cstheme="minorHAnsi"/>
                <w:color w:val="000000"/>
                <w:sz w:val="18"/>
                <w:szCs w:val="18"/>
                <w:lang w:val="en-US"/>
              </w:rPr>
            </w:pPr>
            <w:r w:rsidRPr="007F2CC0">
              <w:rPr>
                <w:rFonts w:eastAsia="Cambria" w:cstheme="minorHAnsi"/>
                <w:b/>
                <w:color w:val="000000"/>
                <w:sz w:val="18"/>
                <w:szCs w:val="18"/>
                <w:lang w:val="en-US"/>
              </w:rPr>
              <w:t>Oxidants Model</w:t>
            </w:r>
          </w:p>
        </w:tc>
        <w:tc>
          <w:tcPr>
            <w:tcW w:w="818" w:type="pct"/>
            <w:tcBorders>
              <w:top w:val="nil"/>
              <w:left w:val="nil"/>
              <w:bottom w:val="nil"/>
              <w:right w:val="nil"/>
            </w:tcBorders>
            <w:vAlign w:val="bottom"/>
          </w:tcPr>
          <w:p w14:paraId="26BA8462" w14:textId="77777777" w:rsidR="00523F76" w:rsidRPr="007F2CC0" w:rsidRDefault="00523F76" w:rsidP="00B47268">
            <w:pPr>
              <w:spacing w:after="65" w:line="263" w:lineRule="auto"/>
              <w:rPr>
                <w:rFonts w:eastAsia="Cambria" w:cstheme="minorHAnsi"/>
                <w:color w:val="000000"/>
                <w:sz w:val="18"/>
                <w:szCs w:val="18"/>
                <w:lang w:val="en-US"/>
              </w:rPr>
            </w:pPr>
          </w:p>
        </w:tc>
        <w:tc>
          <w:tcPr>
            <w:tcW w:w="817" w:type="pct"/>
            <w:tcBorders>
              <w:top w:val="nil"/>
              <w:left w:val="nil"/>
              <w:bottom w:val="nil"/>
              <w:right w:val="nil"/>
            </w:tcBorders>
            <w:vAlign w:val="bottom"/>
          </w:tcPr>
          <w:p w14:paraId="5C757C2A" w14:textId="77777777" w:rsidR="00523F76" w:rsidRPr="007F2CC0" w:rsidRDefault="00523F76" w:rsidP="00B47268">
            <w:pPr>
              <w:spacing w:after="65" w:line="263" w:lineRule="auto"/>
              <w:rPr>
                <w:rFonts w:eastAsia="Cambria" w:cstheme="minorHAnsi"/>
                <w:color w:val="000000"/>
                <w:sz w:val="18"/>
                <w:szCs w:val="18"/>
                <w:lang w:val="en-US"/>
              </w:rPr>
            </w:pPr>
          </w:p>
        </w:tc>
        <w:tc>
          <w:tcPr>
            <w:tcW w:w="818" w:type="pct"/>
            <w:tcBorders>
              <w:top w:val="nil"/>
              <w:left w:val="nil"/>
              <w:bottom w:val="nil"/>
              <w:right w:val="nil"/>
            </w:tcBorders>
            <w:vAlign w:val="bottom"/>
          </w:tcPr>
          <w:p w14:paraId="22294BEC" w14:textId="77777777" w:rsidR="00523F76" w:rsidRPr="007F2CC0" w:rsidRDefault="00523F76" w:rsidP="00B47268">
            <w:pPr>
              <w:spacing w:after="65" w:line="263" w:lineRule="auto"/>
              <w:rPr>
                <w:rFonts w:eastAsia="Cambria" w:cstheme="minorHAnsi"/>
                <w:color w:val="000000"/>
                <w:sz w:val="18"/>
                <w:szCs w:val="18"/>
                <w:lang w:val="en-US"/>
              </w:rPr>
            </w:pPr>
          </w:p>
        </w:tc>
        <w:tc>
          <w:tcPr>
            <w:tcW w:w="866" w:type="pct"/>
            <w:tcBorders>
              <w:top w:val="nil"/>
              <w:left w:val="nil"/>
              <w:bottom w:val="nil"/>
              <w:right w:val="nil"/>
            </w:tcBorders>
            <w:vAlign w:val="bottom"/>
          </w:tcPr>
          <w:p w14:paraId="25526F75" w14:textId="77777777" w:rsidR="00523F76" w:rsidRPr="007F2CC0" w:rsidRDefault="00523F76" w:rsidP="00B47268">
            <w:pPr>
              <w:spacing w:after="65" w:line="263" w:lineRule="auto"/>
              <w:rPr>
                <w:rFonts w:eastAsia="Cambria" w:cstheme="minorHAnsi"/>
                <w:color w:val="000000"/>
                <w:sz w:val="18"/>
                <w:szCs w:val="18"/>
                <w:lang w:val="en-US"/>
              </w:rPr>
            </w:pPr>
          </w:p>
        </w:tc>
        <w:tc>
          <w:tcPr>
            <w:tcW w:w="816" w:type="pct"/>
            <w:tcBorders>
              <w:top w:val="nil"/>
              <w:left w:val="nil"/>
              <w:bottom w:val="nil"/>
              <w:right w:val="nil"/>
            </w:tcBorders>
            <w:vAlign w:val="bottom"/>
          </w:tcPr>
          <w:p w14:paraId="668AA35C" w14:textId="77777777" w:rsidR="00523F76" w:rsidRPr="007F2CC0" w:rsidRDefault="00523F76" w:rsidP="00B47268">
            <w:pPr>
              <w:spacing w:after="65" w:line="263" w:lineRule="auto"/>
              <w:rPr>
                <w:rFonts w:eastAsia="Cambria" w:cstheme="minorHAnsi"/>
                <w:color w:val="000000"/>
                <w:sz w:val="18"/>
                <w:szCs w:val="18"/>
                <w:lang w:val="en-US"/>
              </w:rPr>
            </w:pPr>
          </w:p>
        </w:tc>
      </w:tr>
      <w:tr w:rsidR="00B47268" w:rsidRPr="007F2CC0" w14:paraId="22C8EE8F" w14:textId="77777777" w:rsidTr="00523F76">
        <w:trPr>
          <w:trHeight w:val="65"/>
        </w:trPr>
        <w:tc>
          <w:tcPr>
            <w:tcW w:w="865" w:type="pct"/>
            <w:tcBorders>
              <w:top w:val="nil"/>
              <w:left w:val="nil"/>
              <w:bottom w:val="nil"/>
              <w:right w:val="nil"/>
            </w:tcBorders>
          </w:tcPr>
          <w:p w14:paraId="7567922F"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Full cohort</w:t>
            </w:r>
          </w:p>
        </w:tc>
        <w:tc>
          <w:tcPr>
            <w:tcW w:w="818" w:type="pct"/>
            <w:tcBorders>
              <w:top w:val="nil"/>
              <w:left w:val="nil"/>
              <w:bottom w:val="nil"/>
              <w:right w:val="nil"/>
            </w:tcBorders>
            <w:vAlign w:val="bottom"/>
          </w:tcPr>
          <w:p w14:paraId="21601A86"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1.702 (1.680, 1.725)</w:t>
            </w:r>
          </w:p>
        </w:tc>
        <w:tc>
          <w:tcPr>
            <w:tcW w:w="817" w:type="pct"/>
            <w:tcBorders>
              <w:top w:val="nil"/>
              <w:left w:val="nil"/>
              <w:bottom w:val="nil"/>
              <w:right w:val="nil"/>
            </w:tcBorders>
            <w:vAlign w:val="bottom"/>
          </w:tcPr>
          <w:p w14:paraId="7EE64D7C"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1.828 (1.778, 1.879)</w:t>
            </w:r>
          </w:p>
        </w:tc>
        <w:tc>
          <w:tcPr>
            <w:tcW w:w="818" w:type="pct"/>
            <w:tcBorders>
              <w:top w:val="nil"/>
              <w:left w:val="nil"/>
              <w:bottom w:val="nil"/>
              <w:right w:val="nil"/>
            </w:tcBorders>
            <w:vAlign w:val="bottom"/>
          </w:tcPr>
          <w:p w14:paraId="643780D6"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1.590 (1.556, 1.623)</w:t>
            </w:r>
          </w:p>
        </w:tc>
        <w:tc>
          <w:tcPr>
            <w:tcW w:w="866" w:type="pct"/>
            <w:tcBorders>
              <w:top w:val="nil"/>
              <w:left w:val="nil"/>
              <w:bottom w:val="nil"/>
              <w:right w:val="nil"/>
            </w:tcBorders>
            <w:vAlign w:val="bottom"/>
          </w:tcPr>
          <w:p w14:paraId="40567612"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1.590 (1.560, 1.620)</w:t>
            </w:r>
          </w:p>
        </w:tc>
        <w:tc>
          <w:tcPr>
            <w:tcW w:w="816" w:type="pct"/>
            <w:tcBorders>
              <w:top w:val="nil"/>
              <w:left w:val="nil"/>
              <w:bottom w:val="nil"/>
              <w:right w:val="nil"/>
            </w:tcBorders>
            <w:vAlign w:val="bottom"/>
          </w:tcPr>
          <w:p w14:paraId="4FFC72B2"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1.740 (1.713, 1.768)</w:t>
            </w:r>
          </w:p>
        </w:tc>
      </w:tr>
      <w:tr w:rsidR="00B47268" w:rsidRPr="007F2CC0" w14:paraId="6ED290E0" w14:textId="77777777" w:rsidTr="00523F76">
        <w:trPr>
          <w:trHeight w:val="199"/>
        </w:trPr>
        <w:tc>
          <w:tcPr>
            <w:tcW w:w="865" w:type="pct"/>
            <w:tcBorders>
              <w:top w:val="nil"/>
              <w:left w:val="nil"/>
              <w:bottom w:val="nil"/>
              <w:right w:val="nil"/>
            </w:tcBorders>
          </w:tcPr>
          <w:p w14:paraId="117499E7" w14:textId="77777777" w:rsidR="00B47268" w:rsidRPr="007F2CC0" w:rsidRDefault="00B47268" w:rsidP="00B47268">
            <w:pPr>
              <w:spacing w:after="65" w:line="263" w:lineRule="auto"/>
              <w:rPr>
                <w:rFonts w:eastAsia="Cambria" w:cstheme="minorHAnsi"/>
                <w:color w:val="000000"/>
                <w:sz w:val="18"/>
                <w:szCs w:val="18"/>
                <w:lang w:val="en-US"/>
              </w:rPr>
            </w:pPr>
            <w:proofErr w:type="spellStart"/>
            <w:r w:rsidRPr="007F2CC0">
              <w:rPr>
                <w:rFonts w:eastAsia="Cambria" w:cstheme="minorHAnsi"/>
                <w:color w:val="000000"/>
                <w:sz w:val="18"/>
                <w:szCs w:val="18"/>
                <w:lang w:val="en-US"/>
              </w:rPr>
              <w:t>Tertile</w:t>
            </w:r>
            <w:proofErr w:type="spellEnd"/>
            <w:r w:rsidRPr="007F2CC0">
              <w:rPr>
                <w:rFonts w:eastAsia="Cambria" w:cstheme="minorHAnsi"/>
                <w:color w:val="000000"/>
                <w:sz w:val="18"/>
                <w:szCs w:val="18"/>
                <w:lang w:val="en-US"/>
              </w:rPr>
              <w:t xml:space="preserve"> 1</w:t>
            </w:r>
          </w:p>
        </w:tc>
        <w:tc>
          <w:tcPr>
            <w:tcW w:w="818" w:type="pct"/>
            <w:tcBorders>
              <w:top w:val="nil"/>
              <w:left w:val="nil"/>
              <w:bottom w:val="nil"/>
              <w:right w:val="nil"/>
            </w:tcBorders>
          </w:tcPr>
          <w:p w14:paraId="4140DE01"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2.478 (1.789, 3.433)</w:t>
            </w:r>
          </w:p>
        </w:tc>
        <w:tc>
          <w:tcPr>
            <w:tcW w:w="817" w:type="pct"/>
            <w:tcBorders>
              <w:top w:val="nil"/>
              <w:left w:val="nil"/>
              <w:bottom w:val="nil"/>
              <w:right w:val="nil"/>
            </w:tcBorders>
          </w:tcPr>
          <w:p w14:paraId="709190D8"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2.903 (1.783, 4.725)</w:t>
            </w:r>
          </w:p>
        </w:tc>
        <w:tc>
          <w:tcPr>
            <w:tcW w:w="818" w:type="pct"/>
            <w:tcBorders>
              <w:top w:val="nil"/>
              <w:left w:val="nil"/>
              <w:bottom w:val="nil"/>
              <w:right w:val="nil"/>
            </w:tcBorders>
          </w:tcPr>
          <w:p w14:paraId="1B6EAF6C"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2.383 (2.231, 2.546)</w:t>
            </w:r>
          </w:p>
        </w:tc>
        <w:tc>
          <w:tcPr>
            <w:tcW w:w="866" w:type="pct"/>
            <w:tcBorders>
              <w:top w:val="nil"/>
              <w:left w:val="nil"/>
              <w:bottom w:val="nil"/>
              <w:right w:val="nil"/>
            </w:tcBorders>
          </w:tcPr>
          <w:p w14:paraId="004C8CF1"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2.140 (1.446, 3.169)</w:t>
            </w:r>
          </w:p>
        </w:tc>
        <w:tc>
          <w:tcPr>
            <w:tcW w:w="816" w:type="pct"/>
            <w:tcBorders>
              <w:top w:val="nil"/>
              <w:left w:val="nil"/>
              <w:bottom w:val="nil"/>
              <w:right w:val="nil"/>
            </w:tcBorders>
          </w:tcPr>
          <w:p w14:paraId="13C7B0B3"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2.550 (1.823, 3.566)</w:t>
            </w:r>
          </w:p>
        </w:tc>
      </w:tr>
      <w:tr w:rsidR="00B47268" w:rsidRPr="007F2CC0" w14:paraId="4E1E3B2B" w14:textId="77777777" w:rsidTr="004D03A6">
        <w:trPr>
          <w:trHeight w:val="87"/>
        </w:trPr>
        <w:tc>
          <w:tcPr>
            <w:tcW w:w="865" w:type="pct"/>
            <w:tcBorders>
              <w:top w:val="nil"/>
              <w:left w:val="nil"/>
              <w:bottom w:val="nil"/>
              <w:right w:val="nil"/>
            </w:tcBorders>
          </w:tcPr>
          <w:p w14:paraId="1F0CE562" w14:textId="77777777" w:rsidR="00B47268" w:rsidRPr="007F2CC0" w:rsidRDefault="00B47268" w:rsidP="00B47268">
            <w:pPr>
              <w:spacing w:after="65" w:line="263" w:lineRule="auto"/>
              <w:rPr>
                <w:rFonts w:eastAsia="Cambria" w:cstheme="minorHAnsi"/>
                <w:color w:val="000000"/>
                <w:sz w:val="18"/>
                <w:szCs w:val="18"/>
                <w:lang w:val="en-US"/>
              </w:rPr>
            </w:pPr>
            <w:proofErr w:type="spellStart"/>
            <w:r w:rsidRPr="007F2CC0">
              <w:rPr>
                <w:rFonts w:eastAsia="Cambria" w:cstheme="minorHAnsi"/>
                <w:color w:val="000000"/>
                <w:sz w:val="18"/>
                <w:szCs w:val="18"/>
                <w:lang w:val="en-US"/>
              </w:rPr>
              <w:t>Tertile</w:t>
            </w:r>
            <w:proofErr w:type="spellEnd"/>
            <w:r w:rsidRPr="007F2CC0">
              <w:rPr>
                <w:rFonts w:eastAsia="Cambria" w:cstheme="minorHAnsi"/>
                <w:color w:val="000000"/>
                <w:sz w:val="18"/>
                <w:szCs w:val="18"/>
                <w:lang w:val="en-US"/>
              </w:rPr>
              <w:t xml:space="preserve"> 2</w:t>
            </w:r>
          </w:p>
        </w:tc>
        <w:tc>
          <w:tcPr>
            <w:tcW w:w="818" w:type="pct"/>
            <w:tcBorders>
              <w:top w:val="nil"/>
              <w:left w:val="nil"/>
              <w:bottom w:val="nil"/>
              <w:right w:val="nil"/>
            </w:tcBorders>
          </w:tcPr>
          <w:p w14:paraId="4CC89DF8"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2.872 (2.660, 3.101)</w:t>
            </w:r>
          </w:p>
        </w:tc>
        <w:tc>
          <w:tcPr>
            <w:tcW w:w="817" w:type="pct"/>
            <w:tcBorders>
              <w:top w:val="nil"/>
              <w:left w:val="nil"/>
              <w:bottom w:val="nil"/>
              <w:right w:val="nil"/>
            </w:tcBorders>
          </w:tcPr>
          <w:p w14:paraId="476103DE"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3.694 (3.027, 4.508)</w:t>
            </w:r>
          </w:p>
        </w:tc>
        <w:tc>
          <w:tcPr>
            <w:tcW w:w="818" w:type="pct"/>
            <w:tcBorders>
              <w:top w:val="nil"/>
              <w:left w:val="nil"/>
              <w:bottom w:val="nil"/>
              <w:right w:val="nil"/>
            </w:tcBorders>
          </w:tcPr>
          <w:p w14:paraId="6FDE2E24"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2.436 (2.418, 2.454)</w:t>
            </w:r>
          </w:p>
        </w:tc>
        <w:tc>
          <w:tcPr>
            <w:tcW w:w="866" w:type="pct"/>
            <w:tcBorders>
              <w:top w:val="nil"/>
              <w:left w:val="nil"/>
              <w:bottom w:val="nil"/>
              <w:right w:val="nil"/>
            </w:tcBorders>
          </w:tcPr>
          <w:p w14:paraId="399D1AC2"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3.358 (2.504, 4.503)</w:t>
            </w:r>
          </w:p>
        </w:tc>
        <w:tc>
          <w:tcPr>
            <w:tcW w:w="816" w:type="pct"/>
            <w:tcBorders>
              <w:top w:val="nil"/>
              <w:left w:val="nil"/>
              <w:bottom w:val="nil"/>
              <w:right w:val="nil"/>
            </w:tcBorders>
          </w:tcPr>
          <w:p w14:paraId="5B184BBB"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2.754 (2.590, 2.927)</w:t>
            </w:r>
          </w:p>
        </w:tc>
      </w:tr>
      <w:tr w:rsidR="00B47268" w:rsidRPr="007F2CC0" w14:paraId="38AF8999" w14:textId="77777777" w:rsidTr="004D03A6">
        <w:trPr>
          <w:trHeight w:val="35"/>
        </w:trPr>
        <w:tc>
          <w:tcPr>
            <w:tcW w:w="865" w:type="pct"/>
            <w:tcBorders>
              <w:top w:val="nil"/>
              <w:left w:val="nil"/>
              <w:bottom w:val="single" w:sz="5" w:space="0" w:color="000000"/>
              <w:right w:val="nil"/>
            </w:tcBorders>
          </w:tcPr>
          <w:p w14:paraId="78D0D295" w14:textId="77777777" w:rsidR="00B47268" w:rsidRPr="007F2CC0" w:rsidRDefault="00B47268" w:rsidP="00B47268">
            <w:pPr>
              <w:spacing w:after="65" w:line="263" w:lineRule="auto"/>
              <w:rPr>
                <w:rFonts w:eastAsia="Cambria" w:cstheme="minorHAnsi"/>
                <w:color w:val="000000"/>
                <w:sz w:val="18"/>
                <w:szCs w:val="18"/>
                <w:lang w:val="en-US"/>
              </w:rPr>
            </w:pPr>
            <w:proofErr w:type="spellStart"/>
            <w:r w:rsidRPr="007F2CC0">
              <w:rPr>
                <w:rFonts w:eastAsia="Cambria" w:cstheme="minorHAnsi"/>
                <w:color w:val="000000"/>
                <w:sz w:val="18"/>
                <w:szCs w:val="18"/>
                <w:lang w:val="en-US"/>
              </w:rPr>
              <w:t>Tertile</w:t>
            </w:r>
            <w:proofErr w:type="spellEnd"/>
            <w:r w:rsidRPr="007F2CC0">
              <w:rPr>
                <w:rFonts w:eastAsia="Cambria" w:cstheme="minorHAnsi"/>
                <w:color w:val="000000"/>
                <w:sz w:val="18"/>
                <w:szCs w:val="18"/>
                <w:lang w:val="en-US"/>
              </w:rPr>
              <w:t xml:space="preserve"> 3</w:t>
            </w:r>
          </w:p>
        </w:tc>
        <w:tc>
          <w:tcPr>
            <w:tcW w:w="818" w:type="pct"/>
            <w:tcBorders>
              <w:top w:val="nil"/>
              <w:left w:val="nil"/>
              <w:bottom w:val="single" w:sz="5" w:space="0" w:color="000000"/>
              <w:right w:val="nil"/>
            </w:tcBorders>
          </w:tcPr>
          <w:p w14:paraId="7E2BA8E5" w14:textId="38F5D145"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1.169 (1.162, 1.175)</w:t>
            </w:r>
            <w:r w:rsidR="004D03A6">
              <w:rPr>
                <w:rFonts w:eastAsia="Cambria" w:cstheme="minorHAnsi"/>
                <w:color w:val="000000"/>
                <w:sz w:val="18"/>
                <w:szCs w:val="18"/>
                <w:lang w:val="en-US"/>
              </w:rPr>
              <w:t xml:space="preserve">  </w:t>
            </w:r>
          </w:p>
        </w:tc>
        <w:tc>
          <w:tcPr>
            <w:tcW w:w="817" w:type="pct"/>
            <w:tcBorders>
              <w:top w:val="nil"/>
              <w:left w:val="nil"/>
              <w:bottom w:val="single" w:sz="5" w:space="0" w:color="000000"/>
              <w:right w:val="nil"/>
            </w:tcBorders>
          </w:tcPr>
          <w:p w14:paraId="6BFB4250"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2.037 (1.961, 2.115)</w:t>
            </w:r>
          </w:p>
        </w:tc>
        <w:tc>
          <w:tcPr>
            <w:tcW w:w="818" w:type="pct"/>
            <w:tcBorders>
              <w:top w:val="nil"/>
              <w:left w:val="nil"/>
              <w:bottom w:val="single" w:sz="5" w:space="0" w:color="000000"/>
              <w:right w:val="nil"/>
            </w:tcBorders>
          </w:tcPr>
          <w:p w14:paraId="212BF146"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1.754 (1.747, 1.761)</w:t>
            </w:r>
          </w:p>
        </w:tc>
        <w:tc>
          <w:tcPr>
            <w:tcW w:w="866" w:type="pct"/>
            <w:tcBorders>
              <w:top w:val="nil"/>
              <w:left w:val="nil"/>
              <w:bottom w:val="single" w:sz="5" w:space="0" w:color="000000"/>
              <w:right w:val="nil"/>
            </w:tcBorders>
          </w:tcPr>
          <w:p w14:paraId="2DD3C7CC"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1.680 (1.564, 1.803)</w:t>
            </w:r>
          </w:p>
        </w:tc>
        <w:tc>
          <w:tcPr>
            <w:tcW w:w="816" w:type="pct"/>
            <w:tcBorders>
              <w:top w:val="nil"/>
              <w:left w:val="nil"/>
              <w:bottom w:val="single" w:sz="5" w:space="0" w:color="000000"/>
              <w:right w:val="nil"/>
            </w:tcBorders>
          </w:tcPr>
          <w:p w14:paraId="30A4ADE2" w14:textId="77777777" w:rsidR="00B47268" w:rsidRPr="007F2CC0" w:rsidRDefault="00B47268" w:rsidP="00B47268">
            <w:pPr>
              <w:spacing w:after="65" w:line="263" w:lineRule="auto"/>
              <w:rPr>
                <w:rFonts w:eastAsia="Cambria" w:cstheme="minorHAnsi"/>
                <w:color w:val="000000"/>
                <w:sz w:val="18"/>
                <w:szCs w:val="18"/>
                <w:lang w:val="en-US"/>
              </w:rPr>
            </w:pPr>
            <w:r w:rsidRPr="007F2CC0">
              <w:rPr>
                <w:rFonts w:eastAsia="Cambria" w:cstheme="minorHAnsi"/>
                <w:color w:val="000000"/>
                <w:sz w:val="18"/>
                <w:szCs w:val="18"/>
                <w:lang w:val="en-US"/>
              </w:rPr>
              <w:t>1.950 (1.927, 1.974)</w:t>
            </w:r>
          </w:p>
        </w:tc>
      </w:tr>
    </w:tbl>
    <w:p w14:paraId="5A7DD893" w14:textId="26B75665" w:rsidR="00BB0D77" w:rsidRDefault="00BB0D77" w:rsidP="00BB0D77">
      <w:pPr>
        <w:pStyle w:val="FootnoteText"/>
        <w:rPr>
          <w:sz w:val="18"/>
          <w:szCs w:val="18"/>
          <w:lang w:val="en-US"/>
        </w:rPr>
      </w:pPr>
      <w:r w:rsidRPr="007F2CC0">
        <w:rPr>
          <w:sz w:val="18"/>
          <w:szCs w:val="18"/>
          <w:lang w:val="en-US"/>
        </w:rPr>
        <w:t>Hazard ratios are calculated per 10</w:t>
      </w:r>
      <w:r w:rsidRPr="007F2CC0">
        <w:rPr>
          <w:i/>
          <w:sz w:val="18"/>
          <w:szCs w:val="18"/>
          <w:lang w:val="en-US"/>
        </w:rPr>
        <w:t>µ</w:t>
      </w:r>
      <w:r w:rsidRPr="007F2CC0">
        <w:rPr>
          <w:sz w:val="18"/>
          <w:szCs w:val="18"/>
          <w:lang w:val="en-US"/>
        </w:rPr>
        <w:t>g/m</w:t>
      </w:r>
      <w:r w:rsidRPr="007F2CC0">
        <w:rPr>
          <w:sz w:val="18"/>
          <w:szCs w:val="18"/>
          <w:vertAlign w:val="superscript"/>
          <w:lang w:val="en-US"/>
        </w:rPr>
        <w:t xml:space="preserve">3 </w:t>
      </w:r>
      <w:r w:rsidRPr="007F2CC0">
        <w:rPr>
          <w:sz w:val="18"/>
          <w:szCs w:val="18"/>
          <w:lang w:val="en-US"/>
        </w:rPr>
        <w:t xml:space="preserve">increase in exposure; all Cox models presented in the table met the proportional hazard assumption according to Schoenfeld residuals. Cox models for all-cause mortality are adjusted for covariates: age, sex, ethnicity, type of drug resistance, treated or untreated, </w:t>
      </w:r>
      <w:proofErr w:type="gramStart"/>
      <w:r w:rsidRPr="007F2CC0">
        <w:rPr>
          <w:sz w:val="18"/>
          <w:szCs w:val="18"/>
          <w:lang w:val="en-US"/>
        </w:rPr>
        <w:t>primary</w:t>
      </w:r>
      <w:proofErr w:type="gramEnd"/>
      <w:r w:rsidRPr="007F2CC0">
        <w:rPr>
          <w:sz w:val="18"/>
          <w:szCs w:val="18"/>
          <w:lang w:val="en-US"/>
        </w:rPr>
        <w:t xml:space="preserve"> or acquired resistance, living province, working environment, place of residence (urban or rural), altitude, and NTL. Covariates excluded in the Cox models due to violation of the proportionality assumption: occupation. NDVI: </w:t>
      </w:r>
      <w:r w:rsidRPr="00523F76">
        <w:rPr>
          <w:sz w:val="18"/>
          <w:szCs w:val="18"/>
          <w:lang w:val="en-US"/>
        </w:rPr>
        <w:t>Normalized</w:t>
      </w:r>
      <w:r w:rsidRPr="007F2CC0">
        <w:rPr>
          <w:sz w:val="18"/>
          <w:szCs w:val="18"/>
          <w:lang w:val="en-US"/>
        </w:rPr>
        <w:t xml:space="preserve"> Difference Vegetation Index. NTL: nighttime light index. </w:t>
      </w:r>
      <w:r w:rsidRPr="00523F76">
        <w:rPr>
          <w:sz w:val="18"/>
          <w:szCs w:val="18"/>
          <w:lang w:val="en-US"/>
        </w:rPr>
        <w:t>Ox: Oxidant</w:t>
      </w:r>
      <w:r w:rsidRPr="007F2CC0">
        <w:rPr>
          <w:sz w:val="18"/>
          <w:szCs w:val="18"/>
          <w:lang w:val="en-US"/>
        </w:rPr>
        <w:t xml:space="preserve"> Capacity (Ox = [(1.07 x NO2) + (2.075 x O3)]/3.145).</w:t>
      </w:r>
    </w:p>
    <w:p w14:paraId="627A2F70" w14:textId="17D7E1C0" w:rsidR="00327F19" w:rsidRDefault="007719C5" w:rsidP="00BB0D77">
      <w:pPr>
        <w:pStyle w:val="FootnoteText"/>
        <w:rPr>
          <w:sz w:val="18"/>
          <w:szCs w:val="18"/>
        </w:rPr>
      </w:pPr>
      <w:r w:rsidRPr="007719C5">
        <w:rPr>
          <w:rFonts w:ascii="Arial" w:hAnsi="Arial"/>
          <w:color w:val="666666"/>
          <w:vertAlign w:val="superscript"/>
        </w:rPr>
        <w:t>*</w:t>
      </w:r>
      <w:r w:rsidR="00327F19" w:rsidRPr="00523F76">
        <w:rPr>
          <w:sz w:val="18"/>
          <w:szCs w:val="18"/>
        </w:rPr>
        <w:t xml:space="preserve"> Treated cases </w:t>
      </w:r>
      <w:r w:rsidR="0045786C">
        <w:rPr>
          <w:rFonts w:hint="eastAsia"/>
          <w:sz w:val="18"/>
          <w:szCs w:val="18"/>
        </w:rPr>
        <w:t>are</w:t>
      </w:r>
      <w:r w:rsidR="00327F19" w:rsidRPr="00523F76">
        <w:rPr>
          <w:sz w:val="18"/>
          <w:szCs w:val="18"/>
        </w:rPr>
        <w:t xml:space="preserve"> defined as patients had or have taken 24-month standardized MDR-TB treatments; </w:t>
      </w:r>
      <w:proofErr w:type="gramStart"/>
      <w:r w:rsidR="00327F19" w:rsidRPr="00523F76">
        <w:rPr>
          <w:sz w:val="18"/>
          <w:szCs w:val="18"/>
        </w:rPr>
        <w:t>otherwise</w:t>
      </w:r>
      <w:proofErr w:type="gramEnd"/>
      <w:r w:rsidR="00327F19" w:rsidRPr="00523F76">
        <w:rPr>
          <w:sz w:val="18"/>
          <w:szCs w:val="18"/>
        </w:rPr>
        <w:t xml:space="preserve"> untreated.</w:t>
      </w:r>
    </w:p>
    <w:p w14:paraId="680F48B9" w14:textId="18F88969" w:rsidR="00327F19" w:rsidRDefault="007719C5" w:rsidP="00327F19">
      <w:pPr>
        <w:pStyle w:val="FootnoteText"/>
        <w:rPr>
          <w:sz w:val="18"/>
          <w:szCs w:val="18"/>
        </w:rPr>
      </w:pPr>
      <w:r w:rsidRPr="007719C5">
        <w:rPr>
          <w:rFonts w:ascii="Arial" w:hAnsi="Arial"/>
          <w:color w:val="666666"/>
          <w:vertAlign w:val="superscript"/>
        </w:rPr>
        <w:t>†</w:t>
      </w:r>
      <w:r>
        <w:rPr>
          <w:sz w:val="18"/>
          <w:szCs w:val="18"/>
        </w:rPr>
        <w:t xml:space="preserve"> </w:t>
      </w:r>
      <w:r w:rsidR="00327F19" w:rsidRPr="00523F76">
        <w:rPr>
          <w:sz w:val="18"/>
          <w:szCs w:val="18"/>
        </w:rPr>
        <w:t xml:space="preserve">Cases without taking any TB-related treatment before MDR-TB diagnosis are suggested to obtain multi-drug resistance from infection of MDR-TB bacteria directly, named </w:t>
      </w:r>
      <w:r w:rsidR="00AF71C8">
        <w:rPr>
          <w:sz w:val="18"/>
          <w:szCs w:val="18"/>
        </w:rPr>
        <w:t>“</w:t>
      </w:r>
      <w:r w:rsidR="00327F19" w:rsidRPr="00523F76">
        <w:rPr>
          <w:sz w:val="18"/>
          <w:szCs w:val="18"/>
        </w:rPr>
        <w:t xml:space="preserve">primary resistance”; cases had TB-related treatment before MDR-TB diagnosis are suggested to obtain multi-drug resistance by acquiring from </w:t>
      </w:r>
      <w:proofErr w:type="spellStart"/>
      <w:r w:rsidR="00327F19" w:rsidRPr="00523F76">
        <w:rPr>
          <w:sz w:val="18"/>
          <w:szCs w:val="18"/>
        </w:rPr>
        <w:t>Mtb</w:t>
      </w:r>
      <w:proofErr w:type="spellEnd"/>
      <w:r w:rsidR="00327F19" w:rsidRPr="00523F76">
        <w:rPr>
          <w:sz w:val="18"/>
          <w:szCs w:val="18"/>
        </w:rPr>
        <w:t>. bacteria mutations, named” acquired resistance.”</w:t>
      </w:r>
    </w:p>
    <w:p w14:paraId="216A0EBE" w14:textId="7531C495" w:rsidR="00327F19" w:rsidRDefault="00327F19" w:rsidP="00327F19">
      <w:pPr>
        <w:pStyle w:val="FootnoteText"/>
        <w:rPr>
          <w:sz w:val="18"/>
          <w:szCs w:val="18"/>
        </w:rPr>
      </w:pPr>
    </w:p>
    <w:p w14:paraId="114F6C9C" w14:textId="140E76CC" w:rsidR="00327F19" w:rsidRDefault="00327F19" w:rsidP="00327F19">
      <w:pPr>
        <w:pStyle w:val="FootnoteText"/>
        <w:rPr>
          <w:sz w:val="18"/>
          <w:szCs w:val="18"/>
        </w:rPr>
      </w:pPr>
    </w:p>
    <w:p w14:paraId="09F02876" w14:textId="6F81A813" w:rsidR="00327F19" w:rsidRDefault="00327F19" w:rsidP="00327F19">
      <w:pPr>
        <w:pStyle w:val="FootnoteText"/>
        <w:rPr>
          <w:sz w:val="18"/>
          <w:szCs w:val="18"/>
        </w:rPr>
      </w:pPr>
    </w:p>
    <w:p w14:paraId="5C19DC02" w14:textId="5E42281F" w:rsidR="00327F19" w:rsidRDefault="00327F19" w:rsidP="00327F19">
      <w:pPr>
        <w:pStyle w:val="FootnoteText"/>
        <w:rPr>
          <w:sz w:val="18"/>
          <w:szCs w:val="18"/>
        </w:rPr>
      </w:pPr>
    </w:p>
    <w:p w14:paraId="2B0A199C" w14:textId="2878C305" w:rsidR="00327F19" w:rsidRDefault="00327F19" w:rsidP="00327F19">
      <w:pPr>
        <w:pStyle w:val="FootnoteText"/>
        <w:rPr>
          <w:sz w:val="18"/>
          <w:szCs w:val="18"/>
        </w:rPr>
      </w:pPr>
    </w:p>
    <w:p w14:paraId="3BDE5D79" w14:textId="5B82465F" w:rsidR="00327F19" w:rsidRDefault="00327F19" w:rsidP="00327F19">
      <w:pPr>
        <w:pStyle w:val="FootnoteText"/>
        <w:rPr>
          <w:sz w:val="18"/>
          <w:szCs w:val="18"/>
        </w:rPr>
      </w:pPr>
    </w:p>
    <w:p w14:paraId="2FD299C8" w14:textId="537595C3" w:rsidR="00327F19" w:rsidRDefault="00327F19" w:rsidP="00327F19">
      <w:pPr>
        <w:pStyle w:val="FootnoteText"/>
        <w:rPr>
          <w:sz w:val="18"/>
          <w:szCs w:val="18"/>
        </w:rPr>
      </w:pPr>
    </w:p>
    <w:p w14:paraId="60FF4D27" w14:textId="04E2BD2B" w:rsidR="00327F19" w:rsidRDefault="00327F19" w:rsidP="00327F19">
      <w:pPr>
        <w:pStyle w:val="FootnoteText"/>
        <w:rPr>
          <w:sz w:val="18"/>
          <w:szCs w:val="18"/>
        </w:rPr>
      </w:pPr>
    </w:p>
    <w:p w14:paraId="097FBF44" w14:textId="021E0715" w:rsidR="00327F19" w:rsidRDefault="00327F19" w:rsidP="00327F19">
      <w:pPr>
        <w:pStyle w:val="FootnoteText"/>
        <w:rPr>
          <w:sz w:val="18"/>
          <w:szCs w:val="18"/>
        </w:rPr>
      </w:pPr>
    </w:p>
    <w:p w14:paraId="55025A83" w14:textId="2AD70D29" w:rsidR="00327F19" w:rsidRDefault="00327F19" w:rsidP="00327F19">
      <w:pPr>
        <w:pStyle w:val="FootnoteText"/>
        <w:rPr>
          <w:sz w:val="18"/>
          <w:szCs w:val="18"/>
        </w:rPr>
      </w:pPr>
    </w:p>
    <w:p w14:paraId="1720AB26" w14:textId="753F4CFC" w:rsidR="00327F19" w:rsidRDefault="00327F19" w:rsidP="00327F19">
      <w:pPr>
        <w:pStyle w:val="FootnoteText"/>
        <w:rPr>
          <w:sz w:val="18"/>
          <w:szCs w:val="18"/>
        </w:rPr>
      </w:pPr>
    </w:p>
    <w:p w14:paraId="18795EDA" w14:textId="2AE68F25" w:rsidR="00327F19" w:rsidRDefault="00327F19" w:rsidP="00327F19">
      <w:pPr>
        <w:pStyle w:val="FootnoteText"/>
        <w:rPr>
          <w:sz w:val="18"/>
          <w:szCs w:val="18"/>
        </w:rPr>
      </w:pPr>
    </w:p>
    <w:p w14:paraId="6A0E5881" w14:textId="77777777" w:rsidR="00327F19" w:rsidRDefault="00327F19" w:rsidP="00327F19">
      <w:pPr>
        <w:pStyle w:val="FootnoteText"/>
        <w:rPr>
          <w:sz w:val="18"/>
          <w:szCs w:val="18"/>
        </w:rPr>
      </w:pPr>
    </w:p>
    <w:p w14:paraId="38EC1B07" w14:textId="77777777" w:rsidR="00327F19" w:rsidRPr="00327F19" w:rsidRDefault="00327F19" w:rsidP="00327F19">
      <w:pPr>
        <w:pStyle w:val="FootnoteText"/>
        <w:rPr>
          <w:sz w:val="18"/>
          <w:szCs w:val="18"/>
        </w:rPr>
      </w:pPr>
    </w:p>
    <w:p w14:paraId="370F184F" w14:textId="3186C9ED" w:rsidR="00B47268" w:rsidRDefault="00B47268" w:rsidP="00327F19">
      <w:pPr>
        <w:spacing w:after="65"/>
        <w:rPr>
          <w:rFonts w:eastAsia="Cambria" w:cstheme="minorHAnsi"/>
          <w:color w:val="000000"/>
          <w:sz w:val="18"/>
          <w:szCs w:val="18"/>
          <w:lang w:val="en-US"/>
        </w:rPr>
      </w:pPr>
    </w:p>
    <w:p w14:paraId="1AFD535B" w14:textId="78F771D1" w:rsidR="00327F19" w:rsidRDefault="00327F19" w:rsidP="00327F19">
      <w:pPr>
        <w:spacing w:after="65"/>
        <w:rPr>
          <w:rFonts w:eastAsia="Cambria" w:cstheme="minorHAnsi"/>
          <w:color w:val="000000"/>
          <w:sz w:val="18"/>
          <w:szCs w:val="18"/>
          <w:lang w:val="en-US"/>
        </w:rPr>
      </w:pPr>
    </w:p>
    <w:p w14:paraId="47D659CF" w14:textId="66C7D4AC" w:rsidR="00327F19" w:rsidRDefault="00327F19" w:rsidP="00327F19">
      <w:pPr>
        <w:spacing w:after="65"/>
        <w:rPr>
          <w:rFonts w:eastAsia="Cambria" w:cstheme="minorHAnsi"/>
          <w:color w:val="000000"/>
          <w:sz w:val="18"/>
          <w:szCs w:val="18"/>
          <w:lang w:val="en-US"/>
        </w:rPr>
      </w:pPr>
    </w:p>
    <w:p w14:paraId="1B36C96A" w14:textId="7ED9F7F2" w:rsidR="00327F19" w:rsidRDefault="00327F19" w:rsidP="00327F19">
      <w:pPr>
        <w:spacing w:after="65"/>
        <w:rPr>
          <w:rFonts w:eastAsia="Cambria" w:cstheme="minorHAnsi"/>
          <w:color w:val="000000"/>
          <w:sz w:val="18"/>
          <w:szCs w:val="18"/>
          <w:lang w:val="en-US"/>
        </w:rPr>
      </w:pPr>
    </w:p>
    <w:p w14:paraId="0B0A027E" w14:textId="6A57EB44" w:rsidR="00327F19" w:rsidRDefault="00327F19" w:rsidP="00327F19">
      <w:pPr>
        <w:spacing w:after="65"/>
        <w:rPr>
          <w:rFonts w:eastAsia="Cambria" w:cstheme="minorHAnsi"/>
          <w:color w:val="000000"/>
          <w:sz w:val="18"/>
          <w:szCs w:val="18"/>
          <w:lang w:val="en-US"/>
        </w:rPr>
      </w:pPr>
    </w:p>
    <w:p w14:paraId="49E98797" w14:textId="549AF3A1" w:rsidR="00327F19" w:rsidRDefault="00327F19" w:rsidP="00327F19">
      <w:pPr>
        <w:spacing w:after="65"/>
        <w:rPr>
          <w:rFonts w:eastAsia="Cambria" w:cstheme="minorHAnsi"/>
          <w:color w:val="000000"/>
          <w:sz w:val="18"/>
          <w:szCs w:val="18"/>
          <w:lang w:val="en-US"/>
        </w:rPr>
      </w:pPr>
    </w:p>
    <w:p w14:paraId="57813A6F" w14:textId="26453BDB" w:rsidR="007719C5" w:rsidRDefault="007719C5" w:rsidP="00327F19">
      <w:pPr>
        <w:spacing w:after="65"/>
        <w:rPr>
          <w:rFonts w:eastAsia="Cambria" w:cstheme="minorHAnsi"/>
          <w:color w:val="000000"/>
          <w:sz w:val="18"/>
          <w:szCs w:val="18"/>
          <w:lang w:val="en-US"/>
        </w:rPr>
      </w:pPr>
    </w:p>
    <w:p w14:paraId="49161740" w14:textId="7EB8FC05" w:rsidR="007719C5" w:rsidRDefault="007719C5" w:rsidP="00327F19">
      <w:pPr>
        <w:spacing w:after="65"/>
        <w:rPr>
          <w:rFonts w:eastAsia="Cambria" w:cstheme="minorHAnsi"/>
          <w:color w:val="000000"/>
          <w:sz w:val="18"/>
          <w:szCs w:val="18"/>
          <w:lang w:val="en-US"/>
        </w:rPr>
      </w:pPr>
    </w:p>
    <w:p w14:paraId="1B98F5B0" w14:textId="77777777" w:rsidR="007719C5" w:rsidRDefault="007719C5" w:rsidP="00327F19">
      <w:pPr>
        <w:spacing w:after="65"/>
        <w:rPr>
          <w:rFonts w:eastAsia="Cambria" w:cstheme="minorHAnsi"/>
          <w:color w:val="000000"/>
          <w:sz w:val="18"/>
          <w:szCs w:val="18"/>
          <w:lang w:val="en-US"/>
        </w:rPr>
      </w:pPr>
    </w:p>
    <w:p w14:paraId="0E31CEA6" w14:textId="29EFB5B3" w:rsidR="00523F76" w:rsidRPr="00523F76" w:rsidRDefault="00523F76" w:rsidP="00327F19">
      <w:pPr>
        <w:pStyle w:val="Caption"/>
        <w:keepNext/>
        <w:rPr>
          <w:rFonts w:cstheme="minorHAnsi"/>
          <w:lang w:val="en-US"/>
        </w:rPr>
      </w:pPr>
      <w:r w:rsidRPr="00523F76">
        <w:rPr>
          <w:rFonts w:cstheme="minorHAnsi"/>
        </w:rPr>
        <w:lastRenderedPageBreak/>
        <w:t xml:space="preserve">Table </w:t>
      </w:r>
      <w:r w:rsidRPr="00523F76">
        <w:rPr>
          <w:rFonts w:cstheme="minorHAnsi"/>
        </w:rPr>
        <w:fldChar w:fldCharType="begin"/>
      </w:r>
      <w:r w:rsidRPr="00523F76">
        <w:rPr>
          <w:rFonts w:cstheme="minorHAnsi"/>
        </w:rPr>
        <w:instrText xml:space="preserve"> SEQ Table \* ARABIC </w:instrText>
      </w:r>
      <w:r w:rsidRPr="00523F76">
        <w:rPr>
          <w:rFonts w:cstheme="minorHAnsi"/>
        </w:rPr>
        <w:fldChar w:fldCharType="separate"/>
      </w:r>
      <w:r w:rsidRPr="00523F76">
        <w:rPr>
          <w:rFonts w:cstheme="minorHAnsi"/>
          <w:noProof/>
        </w:rPr>
        <w:t>4</w:t>
      </w:r>
      <w:r w:rsidRPr="00523F76">
        <w:rPr>
          <w:rFonts w:cstheme="minorHAnsi"/>
        </w:rPr>
        <w:fldChar w:fldCharType="end"/>
      </w:r>
      <w:r w:rsidRPr="00523F76">
        <w:rPr>
          <w:rFonts w:cstheme="minorHAnsi"/>
        </w:rPr>
        <w:t xml:space="preserve">. </w:t>
      </w:r>
      <w:r w:rsidRPr="00523F76">
        <w:rPr>
          <w:rFonts w:cstheme="minorHAnsi"/>
          <w:lang w:val="en-US"/>
        </w:rPr>
        <w:t>Adjusted hazard ratios</w:t>
      </w:r>
      <w:r w:rsidR="00327F19" w:rsidRPr="00523F76">
        <w:rPr>
          <w:rFonts w:cstheme="minorHAnsi"/>
          <w:lang w:val="en-US"/>
        </w:rPr>
        <w:t xml:space="preserve"> </w:t>
      </w:r>
      <w:r w:rsidRPr="00523F76">
        <w:rPr>
          <w:rFonts w:cstheme="minorHAnsi"/>
          <w:lang w:val="en-US"/>
        </w:rPr>
        <w:t>(HRs)</w:t>
      </w:r>
      <w:r w:rsidR="00327F19">
        <w:rPr>
          <w:rFonts w:cstheme="minorHAnsi"/>
          <w:lang w:val="en-US"/>
        </w:rPr>
        <w:t xml:space="preserve"> </w:t>
      </w:r>
      <w:r w:rsidRPr="00523F76">
        <w:rPr>
          <w:rFonts w:cstheme="minorHAnsi"/>
          <w:lang w:val="en-US"/>
        </w:rPr>
        <w:t>for annual mean PM</w:t>
      </w:r>
      <w:r w:rsidRPr="00523F76">
        <w:rPr>
          <w:rFonts w:cstheme="minorHAnsi"/>
          <w:vertAlign w:val="subscript"/>
          <w:lang w:val="en-US"/>
        </w:rPr>
        <w:t xml:space="preserve">2.5 </w:t>
      </w:r>
      <w:r w:rsidRPr="00523F76">
        <w:rPr>
          <w:rFonts w:cstheme="minorHAnsi"/>
          <w:lang w:val="en-US"/>
        </w:rPr>
        <w:t>and mortality among MDR-TB patients stratified by age, sex, place of residence</w:t>
      </w:r>
      <w:r w:rsidR="000F2FCE">
        <w:rPr>
          <w:rFonts w:cstheme="minorHAnsi"/>
          <w:lang w:val="en-US"/>
        </w:rPr>
        <w:t>, and province</w:t>
      </w:r>
      <w:r w:rsidR="00327F19">
        <w:rPr>
          <w:rFonts w:cstheme="minorHAnsi"/>
          <w:lang w:val="en-US"/>
        </w:rPr>
        <w:t xml:space="preserve"> </w:t>
      </w:r>
      <w:r w:rsidRPr="00523F76">
        <w:rPr>
          <w:rFonts w:cstheme="minorHAnsi"/>
          <w:lang w:val="en-US"/>
        </w:rPr>
        <w:t xml:space="preserve">for the full cohort and across the three </w:t>
      </w:r>
      <w:proofErr w:type="spellStart"/>
      <w:r w:rsidRPr="00523F76">
        <w:rPr>
          <w:rFonts w:cstheme="minorHAnsi"/>
          <w:lang w:val="en-US"/>
        </w:rPr>
        <w:t>tertiles</w:t>
      </w:r>
      <w:proofErr w:type="spellEnd"/>
      <w:r w:rsidRPr="00523F76">
        <w:rPr>
          <w:rFonts w:cstheme="minorHAnsi"/>
          <w:lang w:val="en-US"/>
        </w:rPr>
        <w:t xml:space="preserve"> of NDVI</w:t>
      </w:r>
      <w:r w:rsidR="00327F19">
        <w:rPr>
          <w:rFonts w:cstheme="minorHAnsi"/>
          <w:lang w:val="en-US"/>
        </w:rPr>
        <w:t xml:space="preserve"> </w:t>
      </w:r>
      <w:r w:rsidRPr="00523F76">
        <w:rPr>
          <w:rFonts w:cstheme="minorHAnsi"/>
          <w:lang w:val="en-US"/>
        </w:rPr>
        <w:t>within 500m buffer around patient’s residence, after adjusting for Ox in oxidant-pollutant models.</w:t>
      </w:r>
    </w:p>
    <w:tbl>
      <w:tblPr>
        <w:tblW w:w="5000" w:type="pct"/>
        <w:tblCellMar>
          <w:top w:w="25" w:type="dxa"/>
          <w:left w:w="0" w:type="dxa"/>
          <w:bottom w:w="24" w:type="dxa"/>
          <w:right w:w="100" w:type="dxa"/>
        </w:tblCellMar>
        <w:tblLook w:val="04A0" w:firstRow="1" w:lastRow="0" w:firstColumn="1" w:lastColumn="0" w:noHBand="0" w:noVBand="1"/>
      </w:tblPr>
      <w:tblGrid>
        <w:gridCol w:w="1989"/>
        <w:gridCol w:w="1979"/>
        <w:gridCol w:w="1891"/>
        <w:gridCol w:w="1792"/>
        <w:gridCol w:w="1709"/>
      </w:tblGrid>
      <w:tr w:rsidR="00523F76" w:rsidRPr="00523F76" w14:paraId="5E6EBBDB" w14:textId="77777777" w:rsidTr="00523F76">
        <w:trPr>
          <w:trHeight w:val="20"/>
        </w:trPr>
        <w:tc>
          <w:tcPr>
            <w:tcW w:w="1063" w:type="pct"/>
            <w:tcBorders>
              <w:top w:val="single" w:sz="4" w:space="0" w:color="auto"/>
              <w:left w:val="nil"/>
              <w:right w:val="nil"/>
            </w:tcBorders>
          </w:tcPr>
          <w:p w14:paraId="76C20494" w14:textId="77777777" w:rsidR="00523F76" w:rsidRPr="00523F76" w:rsidRDefault="00523F76" w:rsidP="00523F76">
            <w:pPr>
              <w:spacing w:after="65" w:line="263" w:lineRule="auto"/>
              <w:rPr>
                <w:rFonts w:eastAsia="Cambria" w:cstheme="minorHAnsi"/>
                <w:color w:val="000000"/>
                <w:sz w:val="18"/>
                <w:szCs w:val="18"/>
                <w:lang w:val="en-US"/>
              </w:rPr>
            </w:pPr>
          </w:p>
        </w:tc>
        <w:tc>
          <w:tcPr>
            <w:tcW w:w="1057" w:type="pct"/>
            <w:tcBorders>
              <w:top w:val="single" w:sz="4" w:space="0" w:color="auto"/>
              <w:left w:val="nil"/>
              <w:bottom w:val="single" w:sz="4" w:space="0" w:color="auto"/>
              <w:right w:val="nil"/>
            </w:tcBorders>
            <w:vAlign w:val="center"/>
          </w:tcPr>
          <w:p w14:paraId="0C36A7AA" w14:textId="7AB36E58" w:rsidR="00523F76" w:rsidRPr="00523F76" w:rsidRDefault="00400BBE" w:rsidP="00523F76">
            <w:pPr>
              <w:spacing w:after="65" w:line="263" w:lineRule="auto"/>
              <w:jc w:val="center"/>
              <w:rPr>
                <w:rFonts w:eastAsia="Cambria" w:cstheme="minorHAnsi"/>
                <w:color w:val="000000"/>
                <w:sz w:val="18"/>
                <w:szCs w:val="18"/>
                <w:lang w:val="en-US"/>
              </w:rPr>
            </w:pPr>
            <w:r>
              <w:rPr>
                <w:rFonts w:eastAsia="Cambria" w:cstheme="minorHAnsi"/>
                <w:b/>
                <w:color w:val="000000"/>
                <w:sz w:val="18"/>
                <w:szCs w:val="18"/>
                <w:lang w:val="en-US"/>
              </w:rPr>
              <w:t>Fu</w:t>
            </w:r>
            <w:r w:rsidR="00523F76" w:rsidRPr="00523F76">
              <w:rPr>
                <w:rFonts w:eastAsia="Cambria" w:cstheme="minorHAnsi"/>
                <w:b/>
                <w:color w:val="000000"/>
                <w:sz w:val="18"/>
                <w:szCs w:val="18"/>
                <w:lang w:val="en-US"/>
              </w:rPr>
              <w:t>ll cohort (range 0.008 to 0.850)</w:t>
            </w:r>
          </w:p>
        </w:tc>
        <w:tc>
          <w:tcPr>
            <w:tcW w:w="1010" w:type="pct"/>
            <w:tcBorders>
              <w:top w:val="single" w:sz="4" w:space="0" w:color="auto"/>
              <w:left w:val="nil"/>
              <w:bottom w:val="single" w:sz="4" w:space="0" w:color="auto"/>
              <w:right w:val="nil"/>
            </w:tcBorders>
            <w:vAlign w:val="center"/>
          </w:tcPr>
          <w:p w14:paraId="27CAEF03" w14:textId="77777777" w:rsidR="00523F76" w:rsidRPr="00523F76" w:rsidRDefault="00523F76" w:rsidP="00523F76">
            <w:pPr>
              <w:spacing w:after="65" w:line="263" w:lineRule="auto"/>
              <w:jc w:val="center"/>
              <w:rPr>
                <w:rFonts w:eastAsia="Cambria" w:cstheme="minorHAnsi"/>
                <w:color w:val="000000"/>
                <w:sz w:val="18"/>
                <w:szCs w:val="18"/>
                <w:lang w:val="en-US"/>
              </w:rPr>
            </w:pPr>
            <w:proofErr w:type="spellStart"/>
            <w:r w:rsidRPr="00523F76">
              <w:rPr>
                <w:rFonts w:eastAsia="Cambria" w:cstheme="minorHAnsi"/>
                <w:b/>
                <w:color w:val="000000"/>
                <w:sz w:val="18"/>
                <w:szCs w:val="18"/>
                <w:lang w:val="en-US"/>
              </w:rPr>
              <w:t>Tertile</w:t>
            </w:r>
            <w:proofErr w:type="spellEnd"/>
            <w:r w:rsidRPr="00523F76">
              <w:rPr>
                <w:rFonts w:eastAsia="Cambria" w:cstheme="minorHAnsi"/>
                <w:b/>
                <w:color w:val="000000"/>
                <w:sz w:val="18"/>
                <w:szCs w:val="18"/>
                <w:lang w:val="en-US"/>
              </w:rPr>
              <w:t xml:space="preserve"> 1 (range 0.008 to 0.275)</w:t>
            </w:r>
          </w:p>
        </w:tc>
        <w:tc>
          <w:tcPr>
            <w:tcW w:w="957" w:type="pct"/>
            <w:tcBorders>
              <w:top w:val="single" w:sz="4" w:space="0" w:color="auto"/>
              <w:left w:val="nil"/>
              <w:bottom w:val="single" w:sz="4" w:space="0" w:color="auto"/>
              <w:right w:val="nil"/>
            </w:tcBorders>
            <w:vAlign w:val="center"/>
          </w:tcPr>
          <w:p w14:paraId="2F402028" w14:textId="3AE48EB2" w:rsidR="00523F76" w:rsidRPr="00523F76" w:rsidRDefault="00523F76" w:rsidP="00523F76">
            <w:pPr>
              <w:spacing w:after="65" w:line="263" w:lineRule="auto"/>
              <w:jc w:val="center"/>
              <w:rPr>
                <w:rFonts w:eastAsia="Cambria" w:cstheme="minorHAnsi"/>
                <w:color w:val="000000"/>
                <w:sz w:val="18"/>
                <w:szCs w:val="18"/>
                <w:lang w:val="en-US"/>
              </w:rPr>
            </w:pPr>
            <w:proofErr w:type="spellStart"/>
            <w:r w:rsidRPr="00523F76">
              <w:rPr>
                <w:rFonts w:eastAsia="Cambria" w:cstheme="minorHAnsi"/>
                <w:b/>
                <w:color w:val="000000"/>
                <w:sz w:val="18"/>
                <w:szCs w:val="18"/>
                <w:lang w:val="en-US"/>
              </w:rPr>
              <w:t>Tertile</w:t>
            </w:r>
            <w:proofErr w:type="spellEnd"/>
            <w:r w:rsidRPr="00523F76">
              <w:rPr>
                <w:rFonts w:eastAsia="Cambria" w:cstheme="minorHAnsi"/>
                <w:b/>
                <w:color w:val="000000"/>
                <w:sz w:val="18"/>
                <w:szCs w:val="18"/>
                <w:lang w:val="en-US"/>
              </w:rPr>
              <w:t xml:space="preserve"> 2 (range 0.276 to 0.408)</w:t>
            </w:r>
          </w:p>
        </w:tc>
        <w:tc>
          <w:tcPr>
            <w:tcW w:w="913" w:type="pct"/>
            <w:tcBorders>
              <w:top w:val="single" w:sz="4" w:space="0" w:color="auto"/>
              <w:left w:val="nil"/>
              <w:bottom w:val="single" w:sz="4" w:space="0" w:color="auto"/>
              <w:right w:val="nil"/>
            </w:tcBorders>
            <w:vAlign w:val="center"/>
          </w:tcPr>
          <w:p w14:paraId="0A25926B" w14:textId="7BFC4342" w:rsidR="00523F76" w:rsidRPr="00523F76" w:rsidRDefault="00523F76" w:rsidP="00523F76">
            <w:pPr>
              <w:spacing w:after="65" w:line="263" w:lineRule="auto"/>
              <w:jc w:val="center"/>
              <w:rPr>
                <w:rFonts w:eastAsia="Cambria" w:cstheme="minorHAnsi"/>
                <w:color w:val="000000"/>
                <w:sz w:val="18"/>
                <w:szCs w:val="18"/>
                <w:lang w:val="en-US"/>
              </w:rPr>
            </w:pPr>
            <w:proofErr w:type="spellStart"/>
            <w:r w:rsidRPr="00523F76">
              <w:rPr>
                <w:rFonts w:eastAsia="Cambria" w:cstheme="minorHAnsi"/>
                <w:b/>
                <w:color w:val="000000"/>
                <w:sz w:val="18"/>
                <w:szCs w:val="18"/>
                <w:lang w:val="en-US"/>
              </w:rPr>
              <w:t>Tertile</w:t>
            </w:r>
            <w:proofErr w:type="spellEnd"/>
            <w:r w:rsidRPr="00523F76">
              <w:rPr>
                <w:rFonts w:eastAsia="Cambria" w:cstheme="minorHAnsi"/>
                <w:b/>
                <w:color w:val="000000"/>
                <w:sz w:val="18"/>
                <w:szCs w:val="18"/>
                <w:lang w:val="en-US"/>
              </w:rPr>
              <w:t xml:space="preserve"> 3 (range 0.409 to 0.850)</w:t>
            </w:r>
          </w:p>
        </w:tc>
      </w:tr>
      <w:tr w:rsidR="00523F76" w:rsidRPr="00523F76" w14:paraId="0EB0A177" w14:textId="77777777" w:rsidTr="00523F76">
        <w:trPr>
          <w:trHeight w:val="20"/>
        </w:trPr>
        <w:tc>
          <w:tcPr>
            <w:tcW w:w="1063" w:type="pct"/>
            <w:tcBorders>
              <w:left w:val="nil"/>
              <w:bottom w:val="single" w:sz="4" w:space="0" w:color="000000"/>
              <w:right w:val="nil"/>
            </w:tcBorders>
          </w:tcPr>
          <w:p w14:paraId="5929A81C" w14:textId="77777777" w:rsidR="00523F76" w:rsidRPr="00523F76" w:rsidRDefault="00523F76" w:rsidP="00523F76">
            <w:pPr>
              <w:spacing w:after="65" w:line="263" w:lineRule="auto"/>
              <w:rPr>
                <w:rFonts w:eastAsia="Cambria" w:cstheme="minorHAnsi"/>
                <w:color w:val="000000"/>
                <w:sz w:val="18"/>
                <w:szCs w:val="18"/>
                <w:lang w:val="en-US"/>
              </w:rPr>
            </w:pPr>
          </w:p>
        </w:tc>
        <w:tc>
          <w:tcPr>
            <w:tcW w:w="1057" w:type="pct"/>
            <w:tcBorders>
              <w:top w:val="single" w:sz="4" w:space="0" w:color="auto"/>
              <w:left w:val="nil"/>
              <w:bottom w:val="single" w:sz="4" w:space="0" w:color="000000"/>
              <w:right w:val="nil"/>
            </w:tcBorders>
            <w:vAlign w:val="center"/>
          </w:tcPr>
          <w:p w14:paraId="2E231510" w14:textId="24617BC3" w:rsidR="00523F76" w:rsidRPr="00523F76" w:rsidRDefault="00523F76" w:rsidP="00523F76">
            <w:pPr>
              <w:spacing w:after="65" w:line="263" w:lineRule="auto"/>
              <w:jc w:val="center"/>
              <w:rPr>
                <w:rFonts w:eastAsia="Cambria" w:cstheme="minorHAnsi"/>
                <w:color w:val="000000"/>
                <w:sz w:val="18"/>
                <w:szCs w:val="18"/>
                <w:lang w:val="en-US"/>
              </w:rPr>
            </w:pPr>
            <w:r w:rsidRPr="00523F76">
              <w:rPr>
                <w:rFonts w:eastAsia="Cambria" w:cstheme="minorHAnsi"/>
                <w:color w:val="000000"/>
                <w:sz w:val="18"/>
                <w:szCs w:val="18"/>
                <w:lang w:val="en-US"/>
              </w:rPr>
              <w:t>HR</w:t>
            </w:r>
            <w:r w:rsidR="00327F19">
              <w:rPr>
                <w:rFonts w:eastAsia="Cambria" w:cstheme="minorHAnsi"/>
                <w:color w:val="000000"/>
                <w:sz w:val="18"/>
                <w:szCs w:val="18"/>
                <w:lang w:val="en-US"/>
              </w:rPr>
              <w:t xml:space="preserve"> </w:t>
            </w:r>
            <w:r w:rsidRPr="00523F76">
              <w:rPr>
                <w:rFonts w:eastAsia="Cambria" w:cstheme="minorHAnsi"/>
                <w:color w:val="000000"/>
                <w:sz w:val="18"/>
                <w:szCs w:val="18"/>
                <w:lang w:val="en-US"/>
              </w:rPr>
              <w:t>(95% CI)</w:t>
            </w:r>
          </w:p>
        </w:tc>
        <w:tc>
          <w:tcPr>
            <w:tcW w:w="1010" w:type="pct"/>
            <w:tcBorders>
              <w:top w:val="single" w:sz="4" w:space="0" w:color="auto"/>
              <w:left w:val="nil"/>
              <w:bottom w:val="single" w:sz="4" w:space="0" w:color="000000"/>
              <w:right w:val="nil"/>
            </w:tcBorders>
            <w:vAlign w:val="center"/>
          </w:tcPr>
          <w:p w14:paraId="12EBC6F4" w14:textId="77777777" w:rsidR="00523F76" w:rsidRPr="00523F76" w:rsidRDefault="00523F76" w:rsidP="00523F76">
            <w:pPr>
              <w:spacing w:after="65" w:line="263" w:lineRule="auto"/>
              <w:jc w:val="center"/>
              <w:rPr>
                <w:rFonts w:eastAsia="Cambria" w:cstheme="minorHAnsi"/>
                <w:color w:val="000000"/>
                <w:sz w:val="18"/>
                <w:szCs w:val="18"/>
                <w:lang w:val="en-US"/>
              </w:rPr>
            </w:pPr>
            <w:r w:rsidRPr="00523F76">
              <w:rPr>
                <w:rFonts w:eastAsia="Cambria" w:cstheme="minorHAnsi"/>
                <w:color w:val="000000"/>
                <w:sz w:val="18"/>
                <w:szCs w:val="18"/>
                <w:lang w:val="en-US"/>
              </w:rPr>
              <w:t>HR (95% CI)</w:t>
            </w:r>
          </w:p>
        </w:tc>
        <w:tc>
          <w:tcPr>
            <w:tcW w:w="957" w:type="pct"/>
            <w:tcBorders>
              <w:top w:val="single" w:sz="4" w:space="0" w:color="auto"/>
              <w:left w:val="nil"/>
              <w:bottom w:val="single" w:sz="4" w:space="0" w:color="000000"/>
              <w:right w:val="nil"/>
            </w:tcBorders>
            <w:vAlign w:val="center"/>
          </w:tcPr>
          <w:p w14:paraId="7A3C44B2" w14:textId="77777777" w:rsidR="00523F76" w:rsidRPr="00523F76" w:rsidRDefault="00523F76" w:rsidP="00523F76">
            <w:pPr>
              <w:spacing w:after="65" w:line="263" w:lineRule="auto"/>
              <w:jc w:val="center"/>
              <w:rPr>
                <w:rFonts w:eastAsia="Cambria" w:cstheme="minorHAnsi"/>
                <w:color w:val="000000"/>
                <w:sz w:val="18"/>
                <w:szCs w:val="18"/>
                <w:lang w:val="en-US"/>
              </w:rPr>
            </w:pPr>
            <w:r w:rsidRPr="00523F76">
              <w:rPr>
                <w:rFonts w:eastAsia="Cambria" w:cstheme="minorHAnsi"/>
                <w:color w:val="000000"/>
                <w:sz w:val="18"/>
                <w:szCs w:val="18"/>
                <w:lang w:val="en-US"/>
              </w:rPr>
              <w:t>HR (95% CI)</w:t>
            </w:r>
          </w:p>
        </w:tc>
        <w:tc>
          <w:tcPr>
            <w:tcW w:w="913" w:type="pct"/>
            <w:tcBorders>
              <w:top w:val="single" w:sz="4" w:space="0" w:color="auto"/>
              <w:left w:val="nil"/>
              <w:bottom w:val="single" w:sz="4" w:space="0" w:color="000000"/>
              <w:right w:val="nil"/>
            </w:tcBorders>
            <w:vAlign w:val="center"/>
          </w:tcPr>
          <w:p w14:paraId="75245A7F" w14:textId="77777777" w:rsidR="00523F76" w:rsidRPr="00523F76" w:rsidRDefault="00523F76" w:rsidP="00523F76">
            <w:pPr>
              <w:spacing w:after="65" w:line="263" w:lineRule="auto"/>
              <w:jc w:val="center"/>
              <w:rPr>
                <w:rFonts w:eastAsia="Cambria" w:cstheme="minorHAnsi"/>
                <w:color w:val="000000"/>
                <w:sz w:val="18"/>
                <w:szCs w:val="18"/>
                <w:lang w:val="en-US"/>
              </w:rPr>
            </w:pPr>
            <w:r w:rsidRPr="00523F76">
              <w:rPr>
                <w:rFonts w:eastAsia="Cambria" w:cstheme="minorHAnsi"/>
                <w:color w:val="000000"/>
                <w:sz w:val="18"/>
                <w:szCs w:val="18"/>
                <w:lang w:val="en-US"/>
              </w:rPr>
              <w:t>HR (95% CI)</w:t>
            </w:r>
          </w:p>
        </w:tc>
      </w:tr>
      <w:tr w:rsidR="00523F76" w:rsidRPr="00523F76" w14:paraId="58A34586" w14:textId="77777777" w:rsidTr="00523F76">
        <w:trPr>
          <w:trHeight w:val="398"/>
        </w:trPr>
        <w:tc>
          <w:tcPr>
            <w:tcW w:w="1063" w:type="pct"/>
            <w:tcBorders>
              <w:top w:val="single" w:sz="4" w:space="0" w:color="000000"/>
              <w:left w:val="nil"/>
              <w:bottom w:val="nil"/>
              <w:right w:val="nil"/>
            </w:tcBorders>
          </w:tcPr>
          <w:p w14:paraId="292F184A"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b/>
                <w:color w:val="000000"/>
                <w:sz w:val="18"/>
                <w:szCs w:val="18"/>
                <w:lang w:val="en-US"/>
              </w:rPr>
              <w:t>By Age (years old)</w:t>
            </w:r>
          </w:p>
          <w:p w14:paraId="0EC3A25B"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i/>
                <w:color w:val="000000"/>
                <w:sz w:val="18"/>
                <w:szCs w:val="18"/>
                <w:lang w:val="en-US"/>
              </w:rPr>
              <w:t xml:space="preserve">&lt; </w:t>
            </w:r>
            <w:r w:rsidRPr="00523F76">
              <w:rPr>
                <w:rFonts w:eastAsia="Cambria" w:cstheme="minorHAnsi"/>
                <w:color w:val="000000"/>
                <w:sz w:val="18"/>
                <w:szCs w:val="18"/>
                <w:lang w:val="en-US"/>
              </w:rPr>
              <w:t>60</w:t>
            </w:r>
          </w:p>
        </w:tc>
        <w:tc>
          <w:tcPr>
            <w:tcW w:w="1057" w:type="pct"/>
            <w:tcBorders>
              <w:top w:val="single" w:sz="4" w:space="0" w:color="000000"/>
              <w:left w:val="nil"/>
              <w:bottom w:val="nil"/>
              <w:right w:val="nil"/>
            </w:tcBorders>
            <w:vAlign w:val="bottom"/>
          </w:tcPr>
          <w:p w14:paraId="02383DE0"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2.434 (2.432, 2.435)</w:t>
            </w:r>
          </w:p>
        </w:tc>
        <w:tc>
          <w:tcPr>
            <w:tcW w:w="1010" w:type="pct"/>
            <w:tcBorders>
              <w:top w:val="single" w:sz="4" w:space="0" w:color="000000"/>
              <w:left w:val="nil"/>
              <w:bottom w:val="nil"/>
              <w:right w:val="nil"/>
            </w:tcBorders>
            <w:vAlign w:val="bottom"/>
          </w:tcPr>
          <w:p w14:paraId="42AA726C"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3.093 (2.639, 3.626)</w:t>
            </w:r>
          </w:p>
        </w:tc>
        <w:tc>
          <w:tcPr>
            <w:tcW w:w="957" w:type="pct"/>
            <w:tcBorders>
              <w:top w:val="single" w:sz="4" w:space="0" w:color="000000"/>
              <w:left w:val="nil"/>
              <w:bottom w:val="nil"/>
              <w:right w:val="nil"/>
            </w:tcBorders>
            <w:vAlign w:val="bottom"/>
          </w:tcPr>
          <w:p w14:paraId="1FF46DFC"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4.431 (4.117, 4.770)</w:t>
            </w:r>
          </w:p>
        </w:tc>
        <w:tc>
          <w:tcPr>
            <w:tcW w:w="913" w:type="pct"/>
            <w:tcBorders>
              <w:top w:val="single" w:sz="4" w:space="0" w:color="000000"/>
              <w:left w:val="nil"/>
              <w:bottom w:val="nil"/>
              <w:right w:val="nil"/>
            </w:tcBorders>
            <w:vAlign w:val="bottom"/>
          </w:tcPr>
          <w:p w14:paraId="7F2C115E"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3.462 (3.430, 3.495)</w:t>
            </w:r>
          </w:p>
        </w:tc>
      </w:tr>
      <w:tr w:rsidR="00523F76" w:rsidRPr="00523F76" w14:paraId="0FDFEA68" w14:textId="77777777" w:rsidTr="00523F76">
        <w:trPr>
          <w:trHeight w:val="204"/>
        </w:trPr>
        <w:tc>
          <w:tcPr>
            <w:tcW w:w="1063" w:type="pct"/>
            <w:tcBorders>
              <w:top w:val="nil"/>
              <w:left w:val="nil"/>
              <w:bottom w:val="nil"/>
              <w:right w:val="nil"/>
            </w:tcBorders>
          </w:tcPr>
          <w:p w14:paraId="0AAF019F"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 60</w:t>
            </w:r>
          </w:p>
        </w:tc>
        <w:tc>
          <w:tcPr>
            <w:tcW w:w="1057" w:type="pct"/>
            <w:tcBorders>
              <w:top w:val="nil"/>
              <w:left w:val="nil"/>
              <w:bottom w:val="nil"/>
              <w:right w:val="nil"/>
            </w:tcBorders>
          </w:tcPr>
          <w:p w14:paraId="76DDDF5D"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1.487 (1.475, 1.501)</w:t>
            </w:r>
          </w:p>
        </w:tc>
        <w:tc>
          <w:tcPr>
            <w:tcW w:w="1010" w:type="pct"/>
            <w:tcBorders>
              <w:top w:val="nil"/>
              <w:left w:val="nil"/>
              <w:bottom w:val="nil"/>
              <w:right w:val="nil"/>
            </w:tcBorders>
          </w:tcPr>
          <w:p w14:paraId="38CEF23D"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2.383 (1.619, 3.508)</w:t>
            </w:r>
          </w:p>
        </w:tc>
        <w:tc>
          <w:tcPr>
            <w:tcW w:w="957" w:type="pct"/>
            <w:tcBorders>
              <w:top w:val="nil"/>
              <w:left w:val="nil"/>
              <w:bottom w:val="nil"/>
              <w:right w:val="nil"/>
            </w:tcBorders>
          </w:tcPr>
          <w:p w14:paraId="762FE6F2"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1.756 (1.368, 2.253)</w:t>
            </w:r>
          </w:p>
        </w:tc>
        <w:tc>
          <w:tcPr>
            <w:tcW w:w="913" w:type="pct"/>
            <w:tcBorders>
              <w:top w:val="nil"/>
              <w:left w:val="nil"/>
              <w:bottom w:val="nil"/>
              <w:right w:val="nil"/>
            </w:tcBorders>
          </w:tcPr>
          <w:p w14:paraId="26BBDB7C"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1.443 (1.326, 1.571)</w:t>
            </w:r>
          </w:p>
        </w:tc>
      </w:tr>
      <w:tr w:rsidR="00523F76" w:rsidRPr="00523F76" w14:paraId="57432DC3" w14:textId="77777777" w:rsidTr="00523F76">
        <w:trPr>
          <w:trHeight w:val="399"/>
        </w:trPr>
        <w:tc>
          <w:tcPr>
            <w:tcW w:w="1063" w:type="pct"/>
            <w:tcBorders>
              <w:top w:val="nil"/>
              <w:left w:val="nil"/>
              <w:bottom w:val="nil"/>
              <w:right w:val="nil"/>
            </w:tcBorders>
          </w:tcPr>
          <w:p w14:paraId="1C3060C4"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b/>
                <w:color w:val="000000"/>
                <w:sz w:val="18"/>
                <w:szCs w:val="18"/>
                <w:lang w:val="en-US"/>
              </w:rPr>
              <w:t>By Sex</w:t>
            </w:r>
          </w:p>
          <w:p w14:paraId="06FCEF89"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Male</w:t>
            </w:r>
          </w:p>
        </w:tc>
        <w:tc>
          <w:tcPr>
            <w:tcW w:w="1057" w:type="pct"/>
            <w:tcBorders>
              <w:top w:val="nil"/>
              <w:left w:val="nil"/>
              <w:bottom w:val="nil"/>
              <w:right w:val="nil"/>
            </w:tcBorders>
            <w:vAlign w:val="bottom"/>
          </w:tcPr>
          <w:p w14:paraId="307E1451"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1.644 (1.611, 1.678)</w:t>
            </w:r>
          </w:p>
        </w:tc>
        <w:tc>
          <w:tcPr>
            <w:tcW w:w="1010" w:type="pct"/>
            <w:tcBorders>
              <w:top w:val="nil"/>
              <w:left w:val="nil"/>
              <w:bottom w:val="nil"/>
              <w:right w:val="nil"/>
            </w:tcBorders>
            <w:vAlign w:val="bottom"/>
          </w:tcPr>
          <w:p w14:paraId="6FDE2E15"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2.226 (1.721, 2.879)</w:t>
            </w:r>
          </w:p>
        </w:tc>
        <w:tc>
          <w:tcPr>
            <w:tcW w:w="957" w:type="pct"/>
            <w:tcBorders>
              <w:top w:val="nil"/>
              <w:left w:val="nil"/>
              <w:bottom w:val="nil"/>
              <w:right w:val="nil"/>
            </w:tcBorders>
            <w:vAlign w:val="bottom"/>
          </w:tcPr>
          <w:p w14:paraId="399AC07C"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2.083 (1.422, 3.052)</w:t>
            </w:r>
          </w:p>
        </w:tc>
        <w:tc>
          <w:tcPr>
            <w:tcW w:w="913" w:type="pct"/>
            <w:tcBorders>
              <w:top w:val="nil"/>
              <w:left w:val="nil"/>
              <w:bottom w:val="nil"/>
              <w:right w:val="nil"/>
            </w:tcBorders>
            <w:vAlign w:val="bottom"/>
          </w:tcPr>
          <w:p w14:paraId="00D71B69"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2.013 (1.611, 2.772)</w:t>
            </w:r>
          </w:p>
        </w:tc>
      </w:tr>
      <w:tr w:rsidR="00523F76" w:rsidRPr="00523F76" w14:paraId="59C42A7A" w14:textId="77777777" w:rsidTr="00523F76">
        <w:trPr>
          <w:trHeight w:val="199"/>
        </w:trPr>
        <w:tc>
          <w:tcPr>
            <w:tcW w:w="1063" w:type="pct"/>
            <w:tcBorders>
              <w:top w:val="nil"/>
              <w:left w:val="nil"/>
              <w:bottom w:val="nil"/>
              <w:right w:val="nil"/>
            </w:tcBorders>
          </w:tcPr>
          <w:p w14:paraId="473F6888"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Female</w:t>
            </w:r>
          </w:p>
        </w:tc>
        <w:tc>
          <w:tcPr>
            <w:tcW w:w="1057" w:type="pct"/>
            <w:tcBorders>
              <w:top w:val="nil"/>
              <w:left w:val="nil"/>
              <w:bottom w:val="nil"/>
              <w:right w:val="nil"/>
            </w:tcBorders>
          </w:tcPr>
          <w:p w14:paraId="669A14C7"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2.209 (1.874, 2.845)</w:t>
            </w:r>
          </w:p>
        </w:tc>
        <w:tc>
          <w:tcPr>
            <w:tcW w:w="1010" w:type="pct"/>
            <w:tcBorders>
              <w:top w:val="nil"/>
              <w:left w:val="nil"/>
              <w:bottom w:val="nil"/>
              <w:right w:val="nil"/>
            </w:tcBorders>
          </w:tcPr>
          <w:p w14:paraId="401BFB4C"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2.387 (2.269, 3.181)</w:t>
            </w:r>
          </w:p>
        </w:tc>
        <w:tc>
          <w:tcPr>
            <w:tcW w:w="957" w:type="pct"/>
            <w:tcBorders>
              <w:top w:val="nil"/>
              <w:left w:val="nil"/>
              <w:bottom w:val="nil"/>
              <w:right w:val="nil"/>
            </w:tcBorders>
          </w:tcPr>
          <w:p w14:paraId="0C8466C2"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2.401 (2.092, 3.217)</w:t>
            </w:r>
          </w:p>
        </w:tc>
        <w:tc>
          <w:tcPr>
            <w:tcW w:w="913" w:type="pct"/>
            <w:tcBorders>
              <w:top w:val="nil"/>
              <w:left w:val="nil"/>
              <w:bottom w:val="nil"/>
              <w:right w:val="nil"/>
            </w:tcBorders>
          </w:tcPr>
          <w:p w14:paraId="4E66D347"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2.125 (2.178, 3.231)</w:t>
            </w:r>
          </w:p>
        </w:tc>
      </w:tr>
      <w:tr w:rsidR="00523F76" w:rsidRPr="00523F76" w14:paraId="601BDCB2" w14:textId="77777777" w:rsidTr="00523F76">
        <w:trPr>
          <w:trHeight w:val="399"/>
        </w:trPr>
        <w:tc>
          <w:tcPr>
            <w:tcW w:w="1063" w:type="pct"/>
            <w:tcBorders>
              <w:top w:val="nil"/>
              <w:left w:val="nil"/>
              <w:bottom w:val="nil"/>
              <w:right w:val="nil"/>
            </w:tcBorders>
          </w:tcPr>
          <w:p w14:paraId="559E626F"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b/>
                <w:color w:val="000000"/>
                <w:sz w:val="18"/>
                <w:szCs w:val="18"/>
                <w:lang w:val="en-US"/>
              </w:rPr>
              <w:t>By Place of Region</w:t>
            </w:r>
          </w:p>
          <w:p w14:paraId="38332D8B"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Urban area</w:t>
            </w:r>
          </w:p>
        </w:tc>
        <w:tc>
          <w:tcPr>
            <w:tcW w:w="1057" w:type="pct"/>
            <w:tcBorders>
              <w:top w:val="nil"/>
              <w:left w:val="nil"/>
              <w:bottom w:val="nil"/>
              <w:right w:val="nil"/>
            </w:tcBorders>
            <w:vAlign w:val="bottom"/>
          </w:tcPr>
          <w:p w14:paraId="1E66F295"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1.739 (1.631, 1.854)</w:t>
            </w:r>
          </w:p>
        </w:tc>
        <w:tc>
          <w:tcPr>
            <w:tcW w:w="1010" w:type="pct"/>
            <w:tcBorders>
              <w:top w:val="nil"/>
              <w:left w:val="nil"/>
              <w:bottom w:val="nil"/>
              <w:right w:val="nil"/>
            </w:tcBorders>
            <w:vAlign w:val="bottom"/>
          </w:tcPr>
          <w:p w14:paraId="6E7503BC"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3.152 (2.149, 4.625)</w:t>
            </w:r>
          </w:p>
        </w:tc>
        <w:tc>
          <w:tcPr>
            <w:tcW w:w="957" w:type="pct"/>
            <w:tcBorders>
              <w:top w:val="nil"/>
              <w:left w:val="nil"/>
              <w:bottom w:val="nil"/>
              <w:right w:val="nil"/>
            </w:tcBorders>
            <w:vAlign w:val="bottom"/>
          </w:tcPr>
          <w:p w14:paraId="1A1D39B0"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3.149 (3.013, 3.291)</w:t>
            </w:r>
          </w:p>
        </w:tc>
        <w:tc>
          <w:tcPr>
            <w:tcW w:w="913" w:type="pct"/>
            <w:tcBorders>
              <w:top w:val="nil"/>
              <w:left w:val="nil"/>
              <w:bottom w:val="nil"/>
              <w:right w:val="nil"/>
            </w:tcBorders>
            <w:vAlign w:val="bottom"/>
          </w:tcPr>
          <w:p w14:paraId="6E3AC81C" w14:textId="77777777" w:rsidR="00523F76" w:rsidRP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1.950 (1.235, 3.079)</w:t>
            </w:r>
          </w:p>
        </w:tc>
      </w:tr>
      <w:tr w:rsidR="00523F76" w:rsidRPr="00523F76" w14:paraId="1C292639" w14:textId="77777777" w:rsidTr="00523F76">
        <w:trPr>
          <w:trHeight w:val="233"/>
        </w:trPr>
        <w:tc>
          <w:tcPr>
            <w:tcW w:w="1063" w:type="pct"/>
            <w:tcBorders>
              <w:top w:val="nil"/>
              <w:left w:val="nil"/>
              <w:bottom w:val="single" w:sz="5" w:space="0" w:color="000000"/>
              <w:right w:val="nil"/>
            </w:tcBorders>
          </w:tcPr>
          <w:p w14:paraId="6B8BDBA8" w14:textId="77777777" w:rsid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Rural area</w:t>
            </w:r>
          </w:p>
          <w:p w14:paraId="0D655AE0" w14:textId="77777777" w:rsidR="000F2FCE" w:rsidRDefault="000F2FCE" w:rsidP="00523F76">
            <w:pPr>
              <w:spacing w:after="65" w:line="263" w:lineRule="auto"/>
              <w:rPr>
                <w:rFonts w:eastAsia="Cambria" w:cstheme="minorHAnsi"/>
                <w:b/>
                <w:color w:val="000000"/>
                <w:sz w:val="18"/>
                <w:szCs w:val="18"/>
                <w:lang w:val="en-US"/>
              </w:rPr>
            </w:pPr>
            <w:r w:rsidRPr="000F2FCE">
              <w:rPr>
                <w:rFonts w:eastAsia="Cambria" w:cstheme="minorHAnsi"/>
                <w:b/>
                <w:color w:val="000000"/>
                <w:sz w:val="18"/>
                <w:szCs w:val="18"/>
                <w:lang w:val="en-US"/>
              </w:rPr>
              <w:t>By Province</w:t>
            </w:r>
          </w:p>
          <w:p w14:paraId="3B776BD7" w14:textId="77777777" w:rsidR="000F2FCE" w:rsidRDefault="000F2FCE" w:rsidP="00523F76">
            <w:pPr>
              <w:spacing w:after="65" w:line="263" w:lineRule="auto"/>
              <w:rPr>
                <w:rFonts w:eastAsia="Cambria" w:cstheme="minorHAnsi"/>
                <w:color w:val="000000"/>
                <w:sz w:val="18"/>
                <w:szCs w:val="18"/>
                <w:lang w:val="en-US"/>
              </w:rPr>
            </w:pPr>
            <w:r w:rsidRPr="000F2FCE">
              <w:rPr>
                <w:rFonts w:eastAsia="Cambria" w:cstheme="minorHAnsi"/>
                <w:color w:val="000000"/>
                <w:sz w:val="18"/>
                <w:szCs w:val="18"/>
                <w:lang w:val="en-US"/>
              </w:rPr>
              <w:t>Zhejiang</w:t>
            </w:r>
          </w:p>
          <w:p w14:paraId="27EE82B0" w14:textId="2DBD7F10" w:rsidR="000F2FCE" w:rsidRPr="000F2FCE" w:rsidRDefault="000F2FCE" w:rsidP="00523F76">
            <w:pPr>
              <w:spacing w:after="65" w:line="263" w:lineRule="auto"/>
              <w:rPr>
                <w:rFonts w:eastAsia="Cambria" w:cstheme="minorHAnsi"/>
                <w:color w:val="000000"/>
                <w:sz w:val="18"/>
                <w:szCs w:val="18"/>
                <w:lang w:val="en-US"/>
              </w:rPr>
            </w:pPr>
            <w:r>
              <w:rPr>
                <w:rFonts w:eastAsia="Cambria" w:cstheme="minorHAnsi"/>
                <w:color w:val="000000"/>
                <w:sz w:val="18"/>
                <w:szCs w:val="18"/>
                <w:lang w:val="en-US"/>
              </w:rPr>
              <w:t>Ningxia</w:t>
            </w:r>
          </w:p>
        </w:tc>
        <w:tc>
          <w:tcPr>
            <w:tcW w:w="1057" w:type="pct"/>
            <w:tcBorders>
              <w:top w:val="nil"/>
              <w:left w:val="nil"/>
              <w:bottom w:val="single" w:sz="5" w:space="0" w:color="000000"/>
              <w:right w:val="nil"/>
            </w:tcBorders>
          </w:tcPr>
          <w:p w14:paraId="573EADC8" w14:textId="77777777" w:rsid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1.780 (1.731, 1.829)</w:t>
            </w:r>
          </w:p>
          <w:p w14:paraId="07C24838" w14:textId="77777777" w:rsidR="00683827" w:rsidRDefault="00683827" w:rsidP="00523F76">
            <w:pPr>
              <w:spacing w:after="65" w:line="263" w:lineRule="auto"/>
              <w:rPr>
                <w:rFonts w:eastAsia="Cambria" w:cstheme="minorHAnsi"/>
                <w:color w:val="000000"/>
                <w:sz w:val="18"/>
                <w:szCs w:val="18"/>
                <w:lang w:val="en-US"/>
              </w:rPr>
            </w:pPr>
          </w:p>
          <w:p w14:paraId="435A48BB" w14:textId="77777777" w:rsidR="00683827" w:rsidRDefault="00683827" w:rsidP="00523F76">
            <w:pPr>
              <w:spacing w:after="65" w:line="263" w:lineRule="auto"/>
              <w:rPr>
                <w:rFonts w:eastAsia="Cambria" w:cstheme="minorHAnsi"/>
                <w:color w:val="000000"/>
                <w:sz w:val="18"/>
                <w:szCs w:val="18"/>
                <w:lang w:val="en-US"/>
              </w:rPr>
            </w:pPr>
            <w:r>
              <w:rPr>
                <w:rFonts w:eastAsia="Cambria" w:cstheme="minorHAnsi"/>
                <w:color w:val="000000"/>
                <w:sz w:val="18"/>
                <w:szCs w:val="18"/>
                <w:lang w:val="en-US"/>
              </w:rPr>
              <w:t>1.059 (1.049, 1.069)</w:t>
            </w:r>
          </w:p>
          <w:p w14:paraId="0418749B" w14:textId="39829B47" w:rsidR="00683827" w:rsidRPr="00523F76" w:rsidRDefault="00683827" w:rsidP="00523F76">
            <w:pPr>
              <w:spacing w:after="65" w:line="263" w:lineRule="auto"/>
              <w:rPr>
                <w:rFonts w:eastAsia="Cambria" w:cstheme="minorHAnsi"/>
                <w:color w:val="000000"/>
                <w:sz w:val="18"/>
                <w:szCs w:val="18"/>
                <w:lang w:val="en-US"/>
              </w:rPr>
            </w:pPr>
            <w:r>
              <w:rPr>
                <w:rFonts w:eastAsia="Cambria" w:cstheme="minorHAnsi"/>
                <w:color w:val="000000"/>
                <w:sz w:val="18"/>
                <w:szCs w:val="18"/>
                <w:lang w:val="en-US"/>
              </w:rPr>
              <w:t>1.221</w:t>
            </w:r>
            <w:r w:rsidR="00A97E45">
              <w:rPr>
                <w:rFonts w:eastAsia="Cambria" w:cstheme="minorHAnsi"/>
                <w:color w:val="000000"/>
                <w:sz w:val="18"/>
                <w:szCs w:val="18"/>
                <w:lang w:val="en-US"/>
              </w:rPr>
              <w:t xml:space="preserve"> (1.078, 1.385)</w:t>
            </w:r>
          </w:p>
        </w:tc>
        <w:tc>
          <w:tcPr>
            <w:tcW w:w="1010" w:type="pct"/>
            <w:tcBorders>
              <w:top w:val="nil"/>
              <w:left w:val="nil"/>
              <w:bottom w:val="single" w:sz="5" w:space="0" w:color="000000"/>
              <w:right w:val="nil"/>
            </w:tcBorders>
          </w:tcPr>
          <w:p w14:paraId="244B01A9" w14:textId="77777777" w:rsid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2.490 (1.749, 3.546)</w:t>
            </w:r>
          </w:p>
          <w:p w14:paraId="47C50881" w14:textId="77777777" w:rsidR="00A97E45" w:rsidRDefault="00A97E45" w:rsidP="00523F76">
            <w:pPr>
              <w:spacing w:after="65" w:line="263" w:lineRule="auto"/>
              <w:rPr>
                <w:rFonts w:eastAsia="Cambria" w:cstheme="minorHAnsi"/>
                <w:color w:val="000000"/>
                <w:sz w:val="18"/>
                <w:szCs w:val="18"/>
                <w:lang w:val="en-US"/>
              </w:rPr>
            </w:pPr>
          </w:p>
          <w:p w14:paraId="4CF25640" w14:textId="77777777" w:rsidR="00A97E45" w:rsidRDefault="00A97E45" w:rsidP="00523F76">
            <w:pPr>
              <w:spacing w:after="65" w:line="263" w:lineRule="auto"/>
              <w:rPr>
                <w:rFonts w:eastAsia="Cambria" w:cstheme="minorHAnsi"/>
                <w:color w:val="000000"/>
                <w:sz w:val="18"/>
                <w:szCs w:val="18"/>
                <w:lang w:val="en-US"/>
              </w:rPr>
            </w:pPr>
            <w:r>
              <w:rPr>
                <w:rFonts w:eastAsia="Cambria" w:cstheme="minorHAnsi"/>
                <w:color w:val="000000"/>
                <w:sz w:val="18"/>
                <w:szCs w:val="18"/>
                <w:lang w:val="en-US"/>
              </w:rPr>
              <w:t>1.074 (1.053, 1.095)</w:t>
            </w:r>
          </w:p>
          <w:p w14:paraId="393E098B" w14:textId="33A855E4" w:rsidR="00A97E45" w:rsidRPr="00523F76" w:rsidRDefault="00A97E45" w:rsidP="00523F76">
            <w:pPr>
              <w:spacing w:after="65" w:line="263" w:lineRule="auto"/>
              <w:rPr>
                <w:rFonts w:eastAsia="Cambria" w:cstheme="minorHAnsi"/>
                <w:color w:val="000000"/>
                <w:sz w:val="18"/>
                <w:szCs w:val="18"/>
                <w:lang w:val="en-US"/>
              </w:rPr>
            </w:pPr>
            <w:r>
              <w:rPr>
                <w:rFonts w:eastAsia="Cambria" w:cstheme="minorHAnsi"/>
                <w:color w:val="000000"/>
                <w:sz w:val="18"/>
                <w:szCs w:val="18"/>
                <w:lang w:val="en-US"/>
              </w:rPr>
              <w:t>1.222 (1.039, 1.437)</w:t>
            </w:r>
          </w:p>
        </w:tc>
        <w:tc>
          <w:tcPr>
            <w:tcW w:w="957" w:type="pct"/>
            <w:tcBorders>
              <w:top w:val="nil"/>
              <w:left w:val="nil"/>
              <w:bottom w:val="single" w:sz="5" w:space="0" w:color="000000"/>
              <w:right w:val="nil"/>
            </w:tcBorders>
          </w:tcPr>
          <w:p w14:paraId="324C5602" w14:textId="77777777" w:rsidR="00523F76"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2.796 (2.682, 2.915)</w:t>
            </w:r>
          </w:p>
          <w:p w14:paraId="21DBA95D" w14:textId="77777777" w:rsidR="00A97E45" w:rsidRDefault="00A97E45" w:rsidP="00523F76">
            <w:pPr>
              <w:spacing w:after="65" w:line="263" w:lineRule="auto"/>
              <w:rPr>
                <w:rFonts w:eastAsia="Cambria" w:cstheme="minorHAnsi"/>
                <w:color w:val="000000"/>
                <w:sz w:val="18"/>
                <w:szCs w:val="18"/>
                <w:lang w:val="en-US"/>
              </w:rPr>
            </w:pPr>
          </w:p>
          <w:p w14:paraId="1600724F" w14:textId="77777777" w:rsidR="00A97E45" w:rsidRDefault="00A97E45" w:rsidP="00523F76">
            <w:pPr>
              <w:spacing w:after="65" w:line="263" w:lineRule="auto"/>
              <w:rPr>
                <w:rFonts w:eastAsia="Cambria" w:cstheme="minorHAnsi"/>
                <w:color w:val="000000"/>
                <w:sz w:val="18"/>
                <w:szCs w:val="18"/>
                <w:lang w:val="en-US"/>
              </w:rPr>
            </w:pPr>
            <w:r>
              <w:rPr>
                <w:rFonts w:eastAsia="Cambria" w:cstheme="minorHAnsi"/>
                <w:color w:val="000000"/>
                <w:sz w:val="18"/>
                <w:szCs w:val="18"/>
                <w:lang w:val="en-US"/>
              </w:rPr>
              <w:t>1.069 (1.046, 1.096)</w:t>
            </w:r>
          </w:p>
          <w:p w14:paraId="1C00EBEB" w14:textId="7BAFA66E" w:rsidR="00A97E45" w:rsidRPr="00523F76" w:rsidRDefault="00A97E45" w:rsidP="00523F76">
            <w:pPr>
              <w:spacing w:after="65" w:line="263" w:lineRule="auto"/>
              <w:rPr>
                <w:rFonts w:eastAsia="Cambria" w:cstheme="minorHAnsi"/>
                <w:color w:val="000000"/>
                <w:sz w:val="18"/>
                <w:szCs w:val="18"/>
                <w:lang w:val="en-US"/>
              </w:rPr>
            </w:pPr>
            <w:r>
              <w:rPr>
                <w:rFonts w:eastAsia="Cambria" w:cstheme="minorHAnsi"/>
                <w:color w:val="000000"/>
                <w:sz w:val="18"/>
                <w:szCs w:val="18"/>
                <w:lang w:val="en-US"/>
              </w:rPr>
              <w:t>1.535 (0.930, 2.531)</w:t>
            </w:r>
          </w:p>
        </w:tc>
        <w:tc>
          <w:tcPr>
            <w:tcW w:w="913" w:type="pct"/>
            <w:tcBorders>
              <w:top w:val="nil"/>
              <w:left w:val="nil"/>
              <w:bottom w:val="single" w:sz="5" w:space="0" w:color="000000"/>
              <w:right w:val="nil"/>
            </w:tcBorders>
          </w:tcPr>
          <w:p w14:paraId="25F83699" w14:textId="77777777" w:rsidR="000F2FCE" w:rsidRDefault="00523F76" w:rsidP="00523F76">
            <w:pPr>
              <w:spacing w:after="65" w:line="263" w:lineRule="auto"/>
              <w:rPr>
                <w:rFonts w:eastAsia="Cambria" w:cstheme="minorHAnsi"/>
                <w:color w:val="000000"/>
                <w:sz w:val="18"/>
                <w:szCs w:val="18"/>
                <w:lang w:val="en-US"/>
              </w:rPr>
            </w:pPr>
            <w:r w:rsidRPr="00523F76">
              <w:rPr>
                <w:rFonts w:eastAsia="Cambria" w:cstheme="minorHAnsi"/>
                <w:color w:val="000000"/>
                <w:sz w:val="18"/>
                <w:szCs w:val="18"/>
                <w:lang w:val="en-US"/>
              </w:rPr>
              <w:t>2.164 (2.035, 2.302)</w:t>
            </w:r>
          </w:p>
          <w:p w14:paraId="79CAFD73" w14:textId="77777777" w:rsidR="000F2FCE" w:rsidRDefault="000F2FCE" w:rsidP="00523F76">
            <w:pPr>
              <w:spacing w:after="65" w:line="263" w:lineRule="auto"/>
              <w:rPr>
                <w:rFonts w:eastAsia="Cambria" w:cstheme="minorHAnsi"/>
                <w:color w:val="000000"/>
                <w:sz w:val="18"/>
                <w:szCs w:val="18"/>
                <w:lang w:val="en-US"/>
              </w:rPr>
            </w:pPr>
          </w:p>
          <w:p w14:paraId="07426E28" w14:textId="77777777" w:rsidR="00A97E45" w:rsidRDefault="00A97E45" w:rsidP="00523F76">
            <w:pPr>
              <w:spacing w:after="65" w:line="263" w:lineRule="auto"/>
              <w:rPr>
                <w:rFonts w:eastAsia="Cambria" w:cstheme="minorHAnsi"/>
                <w:color w:val="000000"/>
                <w:sz w:val="18"/>
                <w:szCs w:val="18"/>
                <w:lang w:val="en-US"/>
              </w:rPr>
            </w:pPr>
            <w:r>
              <w:rPr>
                <w:rFonts w:eastAsia="Cambria" w:cstheme="minorHAnsi"/>
                <w:color w:val="000000"/>
                <w:sz w:val="18"/>
                <w:szCs w:val="18"/>
                <w:lang w:val="en-US"/>
              </w:rPr>
              <w:t>1.052 (1.035, 1.070)</w:t>
            </w:r>
          </w:p>
          <w:p w14:paraId="6A6768B7" w14:textId="5027A74D" w:rsidR="00A97E45" w:rsidRPr="00523F76" w:rsidRDefault="00A97E45" w:rsidP="00A97E45">
            <w:pPr>
              <w:spacing w:after="65" w:line="263" w:lineRule="auto"/>
              <w:jc w:val="center"/>
              <w:rPr>
                <w:rFonts w:eastAsia="Cambria" w:cstheme="minorHAnsi"/>
                <w:color w:val="000000"/>
                <w:sz w:val="18"/>
                <w:szCs w:val="18"/>
                <w:lang w:val="en-US"/>
              </w:rPr>
            </w:pPr>
            <w:r>
              <w:rPr>
                <w:rFonts w:eastAsia="Cambria" w:cstheme="minorHAnsi"/>
                <w:color w:val="000000"/>
                <w:sz w:val="18"/>
                <w:szCs w:val="18"/>
                <w:lang w:val="en-US"/>
              </w:rPr>
              <w:t>---</w:t>
            </w:r>
          </w:p>
        </w:tc>
      </w:tr>
    </w:tbl>
    <w:p w14:paraId="297DEA96" w14:textId="77777777" w:rsidR="00327F19" w:rsidRDefault="00327F19" w:rsidP="00327F19">
      <w:pPr>
        <w:pStyle w:val="FootnoteText"/>
        <w:rPr>
          <w:sz w:val="18"/>
          <w:szCs w:val="18"/>
        </w:rPr>
      </w:pPr>
      <w:r w:rsidRPr="00523F76">
        <w:rPr>
          <w:sz w:val="18"/>
          <w:szCs w:val="18"/>
        </w:rPr>
        <w:t>Hazard ratios (95% confidence intervals) are calculated per 10µg/m3 increase in exposure; all Cox models presented in the table met the proportional hazard assumption according to Schoenfeld residuals. Cox models for all-cause mortality are adjusted for covariates: age, sex, ethnicity, type of drug resistance, treated or untreated, primary, or acquired resistance, province, working environment, place of residence (urban or rural), altitude, NTL. Covariates excluded in the Cox models due to violation of the proportionality assumption: occupation. NDVI: Normalised Difference Index. NTL: nighttime light index. Ox: Oxidant Capacity (Ox = [(1.07 x NO2) + (2.075 x O3)]/3.145).</w:t>
      </w:r>
    </w:p>
    <w:p w14:paraId="0FE0F6C5" w14:textId="6E268B81" w:rsidR="00523F76" w:rsidRDefault="00523F76" w:rsidP="00B47268">
      <w:pPr>
        <w:spacing w:after="65" w:line="263" w:lineRule="auto"/>
        <w:rPr>
          <w:rFonts w:eastAsia="Cambria" w:cstheme="minorHAnsi"/>
          <w:color w:val="000000"/>
          <w:sz w:val="18"/>
          <w:szCs w:val="18"/>
        </w:rPr>
      </w:pPr>
    </w:p>
    <w:p w14:paraId="57C2B831" w14:textId="770C62EA" w:rsidR="007719C5" w:rsidRDefault="007719C5" w:rsidP="00B47268">
      <w:pPr>
        <w:spacing w:after="65" w:line="263" w:lineRule="auto"/>
        <w:rPr>
          <w:rFonts w:eastAsia="Cambria" w:cstheme="minorHAnsi"/>
          <w:color w:val="000000"/>
          <w:sz w:val="18"/>
          <w:szCs w:val="18"/>
        </w:rPr>
      </w:pPr>
    </w:p>
    <w:p w14:paraId="516A6806" w14:textId="11BA6A5E" w:rsidR="007719C5" w:rsidRPr="004E0CBF" w:rsidRDefault="007719C5" w:rsidP="004E0CBF">
      <w:pPr>
        <w:rPr>
          <w:rFonts w:eastAsia="Cambria" w:cstheme="minorHAnsi"/>
          <w:color w:val="000000"/>
          <w:sz w:val="18"/>
          <w:szCs w:val="18"/>
        </w:rPr>
      </w:pPr>
    </w:p>
    <w:sectPr w:rsidR="007719C5" w:rsidRPr="004E0CBF" w:rsidSect="004227F1">
      <w:footerReference w:type="even" r:id="rId29"/>
      <w:footerReference w:type="default" r:id="rId30"/>
      <w:footnotePr>
        <w:numFmt w:val="lowerLetter"/>
        <w:numRestart w:val="eachPage"/>
      </w:footnotePr>
      <w:endnotePr>
        <w:numFmt w:val="lowerLetter"/>
      </w:endnotePr>
      <w:pgSz w:w="12240" w:h="15840"/>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B5D7EB" w14:textId="77777777" w:rsidR="00F776A9" w:rsidRDefault="00F776A9" w:rsidP="001A54F7">
      <w:r>
        <w:separator/>
      </w:r>
    </w:p>
  </w:endnote>
  <w:endnote w:type="continuationSeparator" w:id="0">
    <w:p w14:paraId="6DF960A1" w14:textId="77777777" w:rsidR="00F776A9" w:rsidRDefault="00F776A9" w:rsidP="001A54F7">
      <w:r>
        <w:continuationSeparator/>
      </w:r>
    </w:p>
  </w:endnote>
  <w:endnote w:type="continuationNotice" w:id="1">
    <w:p w14:paraId="0FC29008" w14:textId="77777777" w:rsidR="00F776A9" w:rsidRDefault="00F776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90880794"/>
      <w:docPartObj>
        <w:docPartGallery w:val="Page Numbers (Bottom of Page)"/>
        <w:docPartUnique/>
      </w:docPartObj>
    </w:sdtPr>
    <w:sdtEndPr>
      <w:rPr>
        <w:rStyle w:val="PageNumber"/>
      </w:rPr>
    </w:sdtEndPr>
    <w:sdtContent>
      <w:p w14:paraId="6D20D0B7" w14:textId="0E2C5A30" w:rsidR="00B1063C" w:rsidRDefault="00B1063C" w:rsidP="00EF48D2">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1395011916"/>
      <w:docPartObj>
        <w:docPartGallery w:val="Page Numbers (Bottom of Page)"/>
        <w:docPartUnique/>
      </w:docPartObj>
    </w:sdtPr>
    <w:sdtEndPr>
      <w:rPr>
        <w:rStyle w:val="PageNumber"/>
      </w:rPr>
    </w:sdtEndPr>
    <w:sdtContent>
      <w:p w14:paraId="501DF9F5" w14:textId="25F7AC23" w:rsidR="00B1063C" w:rsidRDefault="00B1063C" w:rsidP="00EF48D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6A391D" w14:textId="77777777" w:rsidR="00B1063C" w:rsidRDefault="00B1063C" w:rsidP="001A54F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47693660"/>
      <w:docPartObj>
        <w:docPartGallery w:val="Page Numbers (Bottom of Page)"/>
        <w:docPartUnique/>
      </w:docPartObj>
    </w:sdtPr>
    <w:sdtEndPr>
      <w:rPr>
        <w:rStyle w:val="PageNumber"/>
      </w:rPr>
    </w:sdtEndPr>
    <w:sdtContent>
      <w:p w14:paraId="6DFA4D35" w14:textId="2DA90CAE" w:rsidR="00B1063C" w:rsidRDefault="00B1063C" w:rsidP="0096663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BB6C6ED" w14:textId="77777777" w:rsidR="00B1063C" w:rsidRDefault="00B1063C" w:rsidP="001A54F7">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2B32A1" w14:textId="77777777" w:rsidR="00F776A9" w:rsidRDefault="00F776A9" w:rsidP="001A54F7">
      <w:r>
        <w:separator/>
      </w:r>
    </w:p>
  </w:footnote>
  <w:footnote w:type="continuationSeparator" w:id="0">
    <w:p w14:paraId="392D689B" w14:textId="77777777" w:rsidR="00F776A9" w:rsidRDefault="00F776A9" w:rsidP="001A54F7">
      <w:r>
        <w:continuationSeparator/>
      </w:r>
    </w:p>
  </w:footnote>
  <w:footnote w:type="continuationNotice" w:id="1">
    <w:p w14:paraId="53AB99F3" w14:textId="77777777" w:rsidR="00F776A9" w:rsidRDefault="00F776A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DB2196"/>
    <w:multiLevelType w:val="hybridMultilevel"/>
    <w:tmpl w:val="DF704AA4"/>
    <w:lvl w:ilvl="0" w:tplc="B9BAC9BC">
      <w:start w:val="3"/>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AB437AF"/>
    <w:multiLevelType w:val="hybridMultilevel"/>
    <w:tmpl w:val="2BBC0E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51C1388"/>
    <w:multiLevelType w:val="hybridMultilevel"/>
    <w:tmpl w:val="FBF0DF8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7CCD16C8"/>
    <w:multiLevelType w:val="hybridMultilevel"/>
    <w:tmpl w:val="747A0AB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20"/>
  <w:characterSpacingControl w:val="doNotCompress"/>
  <w:hdrShapeDefaults>
    <o:shapedefaults v:ext="edit" spidmax="2050"/>
  </w:hdrShapeDefaults>
  <w:footnotePr>
    <w:numFmt w:val="lowerLetter"/>
    <w:numRestart w:val="eachPage"/>
    <w:footnote w:id="-1"/>
    <w:footnote w:id="0"/>
    <w:footnote w:id="1"/>
  </w:footnotePr>
  <w:endnotePr>
    <w:pos w:val="sectEnd"/>
    <w:numFmt w:val="lowerLette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90E"/>
    <w:rsid w:val="00000248"/>
    <w:rsid w:val="000002CE"/>
    <w:rsid w:val="00000717"/>
    <w:rsid w:val="00000E45"/>
    <w:rsid w:val="0000583D"/>
    <w:rsid w:val="00006132"/>
    <w:rsid w:val="0000733D"/>
    <w:rsid w:val="00007761"/>
    <w:rsid w:val="000078B1"/>
    <w:rsid w:val="00013BE4"/>
    <w:rsid w:val="00016827"/>
    <w:rsid w:val="00020481"/>
    <w:rsid w:val="00021BF6"/>
    <w:rsid w:val="0002242D"/>
    <w:rsid w:val="0002334F"/>
    <w:rsid w:val="000233C5"/>
    <w:rsid w:val="00025368"/>
    <w:rsid w:val="000305BC"/>
    <w:rsid w:val="00030B08"/>
    <w:rsid w:val="00032501"/>
    <w:rsid w:val="000349B6"/>
    <w:rsid w:val="00035555"/>
    <w:rsid w:val="00036130"/>
    <w:rsid w:val="00040904"/>
    <w:rsid w:val="00040B89"/>
    <w:rsid w:val="0004204F"/>
    <w:rsid w:val="00042268"/>
    <w:rsid w:val="00042D00"/>
    <w:rsid w:val="00043F56"/>
    <w:rsid w:val="000452E0"/>
    <w:rsid w:val="0004663B"/>
    <w:rsid w:val="0005052C"/>
    <w:rsid w:val="00053BA0"/>
    <w:rsid w:val="00054270"/>
    <w:rsid w:val="000545B2"/>
    <w:rsid w:val="00060EF1"/>
    <w:rsid w:val="000630C6"/>
    <w:rsid w:val="00070781"/>
    <w:rsid w:val="00073EB2"/>
    <w:rsid w:val="000749A3"/>
    <w:rsid w:val="00080346"/>
    <w:rsid w:val="000803A3"/>
    <w:rsid w:val="000808F9"/>
    <w:rsid w:val="0008424E"/>
    <w:rsid w:val="00084DC9"/>
    <w:rsid w:val="00085654"/>
    <w:rsid w:val="00087228"/>
    <w:rsid w:val="00090D61"/>
    <w:rsid w:val="0009342E"/>
    <w:rsid w:val="00093BA1"/>
    <w:rsid w:val="000943B4"/>
    <w:rsid w:val="00094555"/>
    <w:rsid w:val="00097C40"/>
    <w:rsid w:val="000A077C"/>
    <w:rsid w:val="000A15C1"/>
    <w:rsid w:val="000A19B8"/>
    <w:rsid w:val="000A3430"/>
    <w:rsid w:val="000A411A"/>
    <w:rsid w:val="000A54EE"/>
    <w:rsid w:val="000A69F9"/>
    <w:rsid w:val="000B08CB"/>
    <w:rsid w:val="000B184E"/>
    <w:rsid w:val="000B1F07"/>
    <w:rsid w:val="000B2488"/>
    <w:rsid w:val="000B25F2"/>
    <w:rsid w:val="000B354D"/>
    <w:rsid w:val="000B3E92"/>
    <w:rsid w:val="000B400F"/>
    <w:rsid w:val="000B762E"/>
    <w:rsid w:val="000C0A12"/>
    <w:rsid w:val="000C395D"/>
    <w:rsid w:val="000C734D"/>
    <w:rsid w:val="000D14F0"/>
    <w:rsid w:val="000D768C"/>
    <w:rsid w:val="000E004D"/>
    <w:rsid w:val="000E012B"/>
    <w:rsid w:val="000E334F"/>
    <w:rsid w:val="000E39FF"/>
    <w:rsid w:val="000E451B"/>
    <w:rsid w:val="000E61B6"/>
    <w:rsid w:val="000F0E7F"/>
    <w:rsid w:val="000F2FCE"/>
    <w:rsid w:val="000F4CC8"/>
    <w:rsid w:val="00105979"/>
    <w:rsid w:val="00105D3A"/>
    <w:rsid w:val="00114319"/>
    <w:rsid w:val="001149A1"/>
    <w:rsid w:val="00114A74"/>
    <w:rsid w:val="00124415"/>
    <w:rsid w:val="0012463E"/>
    <w:rsid w:val="00125CC4"/>
    <w:rsid w:val="00126880"/>
    <w:rsid w:val="001269EA"/>
    <w:rsid w:val="00130390"/>
    <w:rsid w:val="00132DBE"/>
    <w:rsid w:val="00133641"/>
    <w:rsid w:val="00133DD3"/>
    <w:rsid w:val="00133EC7"/>
    <w:rsid w:val="00134280"/>
    <w:rsid w:val="00134ADE"/>
    <w:rsid w:val="00134F11"/>
    <w:rsid w:val="00135997"/>
    <w:rsid w:val="001370BA"/>
    <w:rsid w:val="0013756E"/>
    <w:rsid w:val="0014368B"/>
    <w:rsid w:val="00143D96"/>
    <w:rsid w:val="00144E9B"/>
    <w:rsid w:val="00144ED5"/>
    <w:rsid w:val="00145464"/>
    <w:rsid w:val="00146CB9"/>
    <w:rsid w:val="00150976"/>
    <w:rsid w:val="00152880"/>
    <w:rsid w:val="00154019"/>
    <w:rsid w:val="00155244"/>
    <w:rsid w:val="00156414"/>
    <w:rsid w:val="00156F57"/>
    <w:rsid w:val="001576EE"/>
    <w:rsid w:val="001604F4"/>
    <w:rsid w:val="001613DC"/>
    <w:rsid w:val="00161E62"/>
    <w:rsid w:val="00164D62"/>
    <w:rsid w:val="00165F0F"/>
    <w:rsid w:val="00166AC2"/>
    <w:rsid w:val="00171DB9"/>
    <w:rsid w:val="001726F2"/>
    <w:rsid w:val="00172A1F"/>
    <w:rsid w:val="00172CB5"/>
    <w:rsid w:val="001761D1"/>
    <w:rsid w:val="00176B29"/>
    <w:rsid w:val="001845BD"/>
    <w:rsid w:val="00186223"/>
    <w:rsid w:val="001863C3"/>
    <w:rsid w:val="00186710"/>
    <w:rsid w:val="00186D04"/>
    <w:rsid w:val="00187DDE"/>
    <w:rsid w:val="00191914"/>
    <w:rsid w:val="001941B9"/>
    <w:rsid w:val="0019584B"/>
    <w:rsid w:val="00197DB9"/>
    <w:rsid w:val="001A003F"/>
    <w:rsid w:val="001A1944"/>
    <w:rsid w:val="001A3639"/>
    <w:rsid w:val="001A46DC"/>
    <w:rsid w:val="001A54F7"/>
    <w:rsid w:val="001A6238"/>
    <w:rsid w:val="001B0AA2"/>
    <w:rsid w:val="001B203D"/>
    <w:rsid w:val="001B2527"/>
    <w:rsid w:val="001B437E"/>
    <w:rsid w:val="001B487B"/>
    <w:rsid w:val="001C0F05"/>
    <w:rsid w:val="001C51F5"/>
    <w:rsid w:val="001C7E47"/>
    <w:rsid w:val="001C7F63"/>
    <w:rsid w:val="001D0857"/>
    <w:rsid w:val="001D154A"/>
    <w:rsid w:val="001D30DF"/>
    <w:rsid w:val="001D32F4"/>
    <w:rsid w:val="001D388B"/>
    <w:rsid w:val="001D6AD4"/>
    <w:rsid w:val="001D6F80"/>
    <w:rsid w:val="001E3903"/>
    <w:rsid w:val="001E6269"/>
    <w:rsid w:val="001E686B"/>
    <w:rsid w:val="001E76F0"/>
    <w:rsid w:val="001F0952"/>
    <w:rsid w:val="001F2355"/>
    <w:rsid w:val="001F2C82"/>
    <w:rsid w:val="001F2FA6"/>
    <w:rsid w:val="001F5064"/>
    <w:rsid w:val="001F5B73"/>
    <w:rsid w:val="00201105"/>
    <w:rsid w:val="00201E1D"/>
    <w:rsid w:val="00202FC9"/>
    <w:rsid w:val="00205CC8"/>
    <w:rsid w:val="00206EA5"/>
    <w:rsid w:val="002076D4"/>
    <w:rsid w:val="002116C5"/>
    <w:rsid w:val="002124A8"/>
    <w:rsid w:val="002140CE"/>
    <w:rsid w:val="00214C44"/>
    <w:rsid w:val="00215039"/>
    <w:rsid w:val="0021569E"/>
    <w:rsid w:val="00215A70"/>
    <w:rsid w:val="002177EF"/>
    <w:rsid w:val="0022032D"/>
    <w:rsid w:val="0022085C"/>
    <w:rsid w:val="00220DA0"/>
    <w:rsid w:val="0022108E"/>
    <w:rsid w:val="00221A06"/>
    <w:rsid w:val="00223D86"/>
    <w:rsid w:val="0022563D"/>
    <w:rsid w:val="00225A9D"/>
    <w:rsid w:val="00225CBF"/>
    <w:rsid w:val="00225D77"/>
    <w:rsid w:val="00225E5C"/>
    <w:rsid w:val="00226701"/>
    <w:rsid w:val="00226B48"/>
    <w:rsid w:val="00227E45"/>
    <w:rsid w:val="00234667"/>
    <w:rsid w:val="00235E26"/>
    <w:rsid w:val="002369CB"/>
    <w:rsid w:val="00236E09"/>
    <w:rsid w:val="002378B8"/>
    <w:rsid w:val="002444E1"/>
    <w:rsid w:val="0024511F"/>
    <w:rsid w:val="002452DC"/>
    <w:rsid w:val="002514A0"/>
    <w:rsid w:val="00251846"/>
    <w:rsid w:val="00254184"/>
    <w:rsid w:val="002562EA"/>
    <w:rsid w:val="00261A14"/>
    <w:rsid w:val="00261EBD"/>
    <w:rsid w:val="00267600"/>
    <w:rsid w:val="0027027A"/>
    <w:rsid w:val="00271088"/>
    <w:rsid w:val="00274E40"/>
    <w:rsid w:val="002756EA"/>
    <w:rsid w:val="0027781F"/>
    <w:rsid w:val="00277AF0"/>
    <w:rsid w:val="002814FD"/>
    <w:rsid w:val="0028388F"/>
    <w:rsid w:val="00283BB5"/>
    <w:rsid w:val="00283CBA"/>
    <w:rsid w:val="00285005"/>
    <w:rsid w:val="00287276"/>
    <w:rsid w:val="002877E2"/>
    <w:rsid w:val="00287926"/>
    <w:rsid w:val="0029064A"/>
    <w:rsid w:val="00290810"/>
    <w:rsid w:val="0029179A"/>
    <w:rsid w:val="00291C9A"/>
    <w:rsid w:val="0029514C"/>
    <w:rsid w:val="00295851"/>
    <w:rsid w:val="00295FDB"/>
    <w:rsid w:val="002962A1"/>
    <w:rsid w:val="00296D0B"/>
    <w:rsid w:val="002979F4"/>
    <w:rsid w:val="002A100A"/>
    <w:rsid w:val="002A12C6"/>
    <w:rsid w:val="002A3278"/>
    <w:rsid w:val="002A36E8"/>
    <w:rsid w:val="002A7660"/>
    <w:rsid w:val="002B35C6"/>
    <w:rsid w:val="002B5117"/>
    <w:rsid w:val="002B6C61"/>
    <w:rsid w:val="002C0951"/>
    <w:rsid w:val="002C0BC1"/>
    <w:rsid w:val="002C577C"/>
    <w:rsid w:val="002C5F06"/>
    <w:rsid w:val="002C66DA"/>
    <w:rsid w:val="002C7995"/>
    <w:rsid w:val="002C7CC1"/>
    <w:rsid w:val="002D260C"/>
    <w:rsid w:val="002D666C"/>
    <w:rsid w:val="002D690E"/>
    <w:rsid w:val="002D6B30"/>
    <w:rsid w:val="002E0DAE"/>
    <w:rsid w:val="002E2049"/>
    <w:rsid w:val="002E2398"/>
    <w:rsid w:val="002E2A9D"/>
    <w:rsid w:val="002E2AC6"/>
    <w:rsid w:val="002E7861"/>
    <w:rsid w:val="002E7EEE"/>
    <w:rsid w:val="002F392F"/>
    <w:rsid w:val="002F43F2"/>
    <w:rsid w:val="002F5922"/>
    <w:rsid w:val="002F5A8A"/>
    <w:rsid w:val="002F5C2A"/>
    <w:rsid w:val="0030138B"/>
    <w:rsid w:val="0030195C"/>
    <w:rsid w:val="00301BCC"/>
    <w:rsid w:val="00302D71"/>
    <w:rsid w:val="00303AE1"/>
    <w:rsid w:val="003058A6"/>
    <w:rsid w:val="00311345"/>
    <w:rsid w:val="00314122"/>
    <w:rsid w:val="00325DEE"/>
    <w:rsid w:val="003261B1"/>
    <w:rsid w:val="00326A55"/>
    <w:rsid w:val="00326A96"/>
    <w:rsid w:val="003271B0"/>
    <w:rsid w:val="00327F19"/>
    <w:rsid w:val="00330D3B"/>
    <w:rsid w:val="00333620"/>
    <w:rsid w:val="0033423D"/>
    <w:rsid w:val="00335AAC"/>
    <w:rsid w:val="00335DC6"/>
    <w:rsid w:val="00335DFC"/>
    <w:rsid w:val="00336CC6"/>
    <w:rsid w:val="0033740B"/>
    <w:rsid w:val="003411D0"/>
    <w:rsid w:val="003439AA"/>
    <w:rsid w:val="00344239"/>
    <w:rsid w:val="00350863"/>
    <w:rsid w:val="00350F3A"/>
    <w:rsid w:val="00355B4A"/>
    <w:rsid w:val="0036026F"/>
    <w:rsid w:val="00360520"/>
    <w:rsid w:val="00360E5F"/>
    <w:rsid w:val="0036139D"/>
    <w:rsid w:val="00364273"/>
    <w:rsid w:val="00365354"/>
    <w:rsid w:val="003653DF"/>
    <w:rsid w:val="00367C57"/>
    <w:rsid w:val="00370046"/>
    <w:rsid w:val="0037017D"/>
    <w:rsid w:val="00372483"/>
    <w:rsid w:val="00373387"/>
    <w:rsid w:val="003739D6"/>
    <w:rsid w:val="00374D3F"/>
    <w:rsid w:val="00375912"/>
    <w:rsid w:val="00377080"/>
    <w:rsid w:val="00377B96"/>
    <w:rsid w:val="0038098A"/>
    <w:rsid w:val="00380FF4"/>
    <w:rsid w:val="00381074"/>
    <w:rsid w:val="0038151E"/>
    <w:rsid w:val="00387B84"/>
    <w:rsid w:val="00391A88"/>
    <w:rsid w:val="00393D0D"/>
    <w:rsid w:val="003940B2"/>
    <w:rsid w:val="00394F4E"/>
    <w:rsid w:val="003954F5"/>
    <w:rsid w:val="0039784A"/>
    <w:rsid w:val="003A2C1D"/>
    <w:rsid w:val="003A738A"/>
    <w:rsid w:val="003A747B"/>
    <w:rsid w:val="003B103B"/>
    <w:rsid w:val="003B3197"/>
    <w:rsid w:val="003B4348"/>
    <w:rsid w:val="003B4690"/>
    <w:rsid w:val="003B48C3"/>
    <w:rsid w:val="003C098D"/>
    <w:rsid w:val="003C0E9C"/>
    <w:rsid w:val="003C1514"/>
    <w:rsid w:val="003C20C1"/>
    <w:rsid w:val="003C25D4"/>
    <w:rsid w:val="003C2B3A"/>
    <w:rsid w:val="003C2D58"/>
    <w:rsid w:val="003C393C"/>
    <w:rsid w:val="003C3D09"/>
    <w:rsid w:val="003C49F9"/>
    <w:rsid w:val="003C75BB"/>
    <w:rsid w:val="003C7AA0"/>
    <w:rsid w:val="003D00D1"/>
    <w:rsid w:val="003D1F73"/>
    <w:rsid w:val="003D379B"/>
    <w:rsid w:val="003D4D4B"/>
    <w:rsid w:val="003D6819"/>
    <w:rsid w:val="003D6A05"/>
    <w:rsid w:val="003D6F0C"/>
    <w:rsid w:val="003D7B94"/>
    <w:rsid w:val="003E092D"/>
    <w:rsid w:val="003E0DDD"/>
    <w:rsid w:val="003E1178"/>
    <w:rsid w:val="003E2947"/>
    <w:rsid w:val="003E3708"/>
    <w:rsid w:val="003E491D"/>
    <w:rsid w:val="003E5DA9"/>
    <w:rsid w:val="003F09AD"/>
    <w:rsid w:val="003F0DB2"/>
    <w:rsid w:val="003F1017"/>
    <w:rsid w:val="003F1FCF"/>
    <w:rsid w:val="003F3599"/>
    <w:rsid w:val="003F35B0"/>
    <w:rsid w:val="003F44E6"/>
    <w:rsid w:val="003F5123"/>
    <w:rsid w:val="003F6C5F"/>
    <w:rsid w:val="003F7EA4"/>
    <w:rsid w:val="00400623"/>
    <w:rsid w:val="00400BBE"/>
    <w:rsid w:val="00400D55"/>
    <w:rsid w:val="0040100B"/>
    <w:rsid w:val="004031D2"/>
    <w:rsid w:val="004036B4"/>
    <w:rsid w:val="00403A41"/>
    <w:rsid w:val="00403CE5"/>
    <w:rsid w:val="00410367"/>
    <w:rsid w:val="00413658"/>
    <w:rsid w:val="0041487C"/>
    <w:rsid w:val="0041680E"/>
    <w:rsid w:val="00421A5F"/>
    <w:rsid w:val="00421DEC"/>
    <w:rsid w:val="004227F1"/>
    <w:rsid w:val="00423DD9"/>
    <w:rsid w:val="00425307"/>
    <w:rsid w:val="0042544A"/>
    <w:rsid w:val="00427529"/>
    <w:rsid w:val="00427555"/>
    <w:rsid w:val="004279FF"/>
    <w:rsid w:val="00435763"/>
    <w:rsid w:val="00441035"/>
    <w:rsid w:val="0044206A"/>
    <w:rsid w:val="004446BD"/>
    <w:rsid w:val="00445D17"/>
    <w:rsid w:val="00446A03"/>
    <w:rsid w:val="00450353"/>
    <w:rsid w:val="0045272F"/>
    <w:rsid w:val="0045480C"/>
    <w:rsid w:val="0045786C"/>
    <w:rsid w:val="00457F8C"/>
    <w:rsid w:val="00464FA8"/>
    <w:rsid w:val="00467712"/>
    <w:rsid w:val="00467B9D"/>
    <w:rsid w:val="00470DA3"/>
    <w:rsid w:val="00471147"/>
    <w:rsid w:val="0047187E"/>
    <w:rsid w:val="00474039"/>
    <w:rsid w:val="004764B3"/>
    <w:rsid w:val="00482D9C"/>
    <w:rsid w:val="004832BA"/>
    <w:rsid w:val="00486891"/>
    <w:rsid w:val="004960A4"/>
    <w:rsid w:val="004A2042"/>
    <w:rsid w:val="004A7240"/>
    <w:rsid w:val="004A74B6"/>
    <w:rsid w:val="004B213E"/>
    <w:rsid w:val="004B22EB"/>
    <w:rsid w:val="004B3480"/>
    <w:rsid w:val="004B35D9"/>
    <w:rsid w:val="004B3D00"/>
    <w:rsid w:val="004B3F3E"/>
    <w:rsid w:val="004B581A"/>
    <w:rsid w:val="004B6F79"/>
    <w:rsid w:val="004B7C9C"/>
    <w:rsid w:val="004C00D9"/>
    <w:rsid w:val="004C012A"/>
    <w:rsid w:val="004C0160"/>
    <w:rsid w:val="004C02A8"/>
    <w:rsid w:val="004C11A3"/>
    <w:rsid w:val="004C19EF"/>
    <w:rsid w:val="004C30C3"/>
    <w:rsid w:val="004C78BF"/>
    <w:rsid w:val="004D03A6"/>
    <w:rsid w:val="004D0CB8"/>
    <w:rsid w:val="004D1542"/>
    <w:rsid w:val="004D251B"/>
    <w:rsid w:val="004D4C47"/>
    <w:rsid w:val="004D4F0D"/>
    <w:rsid w:val="004D53D9"/>
    <w:rsid w:val="004D6D76"/>
    <w:rsid w:val="004E0CBF"/>
    <w:rsid w:val="004E20EC"/>
    <w:rsid w:val="004E4B5C"/>
    <w:rsid w:val="004E76BE"/>
    <w:rsid w:val="004F3D37"/>
    <w:rsid w:val="004F40B1"/>
    <w:rsid w:val="004F5FE0"/>
    <w:rsid w:val="005025F6"/>
    <w:rsid w:val="0050482F"/>
    <w:rsid w:val="00504C51"/>
    <w:rsid w:val="00505AB4"/>
    <w:rsid w:val="0051064B"/>
    <w:rsid w:val="00517367"/>
    <w:rsid w:val="005210F1"/>
    <w:rsid w:val="00523F76"/>
    <w:rsid w:val="005243C2"/>
    <w:rsid w:val="005271E2"/>
    <w:rsid w:val="005305B4"/>
    <w:rsid w:val="00530DF8"/>
    <w:rsid w:val="00530FF7"/>
    <w:rsid w:val="00531A1E"/>
    <w:rsid w:val="0053275D"/>
    <w:rsid w:val="005330DC"/>
    <w:rsid w:val="005351C8"/>
    <w:rsid w:val="00536734"/>
    <w:rsid w:val="00536DC5"/>
    <w:rsid w:val="005373B1"/>
    <w:rsid w:val="00537792"/>
    <w:rsid w:val="00537D1A"/>
    <w:rsid w:val="00540146"/>
    <w:rsid w:val="00540D27"/>
    <w:rsid w:val="00541BB4"/>
    <w:rsid w:val="00542ADA"/>
    <w:rsid w:val="005435C3"/>
    <w:rsid w:val="005440CD"/>
    <w:rsid w:val="00546158"/>
    <w:rsid w:val="005468C5"/>
    <w:rsid w:val="00550358"/>
    <w:rsid w:val="005508E3"/>
    <w:rsid w:val="005514B8"/>
    <w:rsid w:val="005518C3"/>
    <w:rsid w:val="00553B8A"/>
    <w:rsid w:val="00554949"/>
    <w:rsid w:val="0055713C"/>
    <w:rsid w:val="005572A5"/>
    <w:rsid w:val="00560DBC"/>
    <w:rsid w:val="00564460"/>
    <w:rsid w:val="0056733F"/>
    <w:rsid w:val="0056751D"/>
    <w:rsid w:val="005704D7"/>
    <w:rsid w:val="005707C9"/>
    <w:rsid w:val="005734C5"/>
    <w:rsid w:val="0057397C"/>
    <w:rsid w:val="00573BA8"/>
    <w:rsid w:val="00573CB2"/>
    <w:rsid w:val="0057658E"/>
    <w:rsid w:val="00576C6F"/>
    <w:rsid w:val="00577228"/>
    <w:rsid w:val="005779A5"/>
    <w:rsid w:val="00577CF8"/>
    <w:rsid w:val="0058139B"/>
    <w:rsid w:val="00581AA3"/>
    <w:rsid w:val="00581CFD"/>
    <w:rsid w:val="00582E94"/>
    <w:rsid w:val="00583BB0"/>
    <w:rsid w:val="005854D0"/>
    <w:rsid w:val="00585F0E"/>
    <w:rsid w:val="00586372"/>
    <w:rsid w:val="00586CEF"/>
    <w:rsid w:val="0059484D"/>
    <w:rsid w:val="005951DB"/>
    <w:rsid w:val="00596952"/>
    <w:rsid w:val="005A0275"/>
    <w:rsid w:val="005A3C0B"/>
    <w:rsid w:val="005A4F09"/>
    <w:rsid w:val="005A6321"/>
    <w:rsid w:val="005A78F6"/>
    <w:rsid w:val="005B562C"/>
    <w:rsid w:val="005B60E2"/>
    <w:rsid w:val="005B6187"/>
    <w:rsid w:val="005B638F"/>
    <w:rsid w:val="005C07AC"/>
    <w:rsid w:val="005C48E7"/>
    <w:rsid w:val="005C5E8E"/>
    <w:rsid w:val="005C7202"/>
    <w:rsid w:val="005C76F1"/>
    <w:rsid w:val="005D14D4"/>
    <w:rsid w:val="005D25A3"/>
    <w:rsid w:val="005D2656"/>
    <w:rsid w:val="005D4469"/>
    <w:rsid w:val="005D5533"/>
    <w:rsid w:val="005D6B81"/>
    <w:rsid w:val="005E029F"/>
    <w:rsid w:val="005E03DC"/>
    <w:rsid w:val="005E0E4C"/>
    <w:rsid w:val="005E1DEB"/>
    <w:rsid w:val="005E4002"/>
    <w:rsid w:val="005E63B5"/>
    <w:rsid w:val="005E6669"/>
    <w:rsid w:val="005E786A"/>
    <w:rsid w:val="005F289F"/>
    <w:rsid w:val="005F3390"/>
    <w:rsid w:val="005F34E1"/>
    <w:rsid w:val="005F5E4B"/>
    <w:rsid w:val="005F6835"/>
    <w:rsid w:val="005F6ECD"/>
    <w:rsid w:val="005F7AFE"/>
    <w:rsid w:val="0060145A"/>
    <w:rsid w:val="00603AF3"/>
    <w:rsid w:val="006044DA"/>
    <w:rsid w:val="00605090"/>
    <w:rsid w:val="00605B8C"/>
    <w:rsid w:val="00610DEA"/>
    <w:rsid w:val="00612421"/>
    <w:rsid w:val="006139A8"/>
    <w:rsid w:val="0061716B"/>
    <w:rsid w:val="006242C8"/>
    <w:rsid w:val="00625D3F"/>
    <w:rsid w:val="00626F78"/>
    <w:rsid w:val="00630D1D"/>
    <w:rsid w:val="00631499"/>
    <w:rsid w:val="00636C4F"/>
    <w:rsid w:val="00637221"/>
    <w:rsid w:val="006377BF"/>
    <w:rsid w:val="006379BE"/>
    <w:rsid w:val="00640F73"/>
    <w:rsid w:val="00641623"/>
    <w:rsid w:val="006437BE"/>
    <w:rsid w:val="00644476"/>
    <w:rsid w:val="0064590C"/>
    <w:rsid w:val="006461E7"/>
    <w:rsid w:val="0064634D"/>
    <w:rsid w:val="00646A5C"/>
    <w:rsid w:val="0064707A"/>
    <w:rsid w:val="006504BE"/>
    <w:rsid w:val="00652E3A"/>
    <w:rsid w:val="00654371"/>
    <w:rsid w:val="00656921"/>
    <w:rsid w:val="00656D0B"/>
    <w:rsid w:val="00657E7E"/>
    <w:rsid w:val="00657F19"/>
    <w:rsid w:val="00660185"/>
    <w:rsid w:val="00665E30"/>
    <w:rsid w:val="00666FD5"/>
    <w:rsid w:val="006674F1"/>
    <w:rsid w:val="00667FF8"/>
    <w:rsid w:val="006708D0"/>
    <w:rsid w:val="00670FA1"/>
    <w:rsid w:val="006718EA"/>
    <w:rsid w:val="00673DDB"/>
    <w:rsid w:val="0067604D"/>
    <w:rsid w:val="0067644A"/>
    <w:rsid w:val="006813AA"/>
    <w:rsid w:val="00683827"/>
    <w:rsid w:val="00684071"/>
    <w:rsid w:val="006850A6"/>
    <w:rsid w:val="00691953"/>
    <w:rsid w:val="00691FD7"/>
    <w:rsid w:val="0069219C"/>
    <w:rsid w:val="00692A2D"/>
    <w:rsid w:val="006930EA"/>
    <w:rsid w:val="0069405A"/>
    <w:rsid w:val="00694C5A"/>
    <w:rsid w:val="006979DB"/>
    <w:rsid w:val="006A5F77"/>
    <w:rsid w:val="006A6618"/>
    <w:rsid w:val="006B318A"/>
    <w:rsid w:val="006B48A5"/>
    <w:rsid w:val="006B6DE1"/>
    <w:rsid w:val="006B738A"/>
    <w:rsid w:val="006C1A12"/>
    <w:rsid w:val="006C3034"/>
    <w:rsid w:val="006C3626"/>
    <w:rsid w:val="006C512B"/>
    <w:rsid w:val="006C5A23"/>
    <w:rsid w:val="006D1EB1"/>
    <w:rsid w:val="006D4D35"/>
    <w:rsid w:val="006D7973"/>
    <w:rsid w:val="006E0160"/>
    <w:rsid w:val="006E180E"/>
    <w:rsid w:val="006E1917"/>
    <w:rsid w:val="006E1A1B"/>
    <w:rsid w:val="006E2338"/>
    <w:rsid w:val="006E2770"/>
    <w:rsid w:val="006E453D"/>
    <w:rsid w:val="006E4E06"/>
    <w:rsid w:val="006F0DEC"/>
    <w:rsid w:val="006F5538"/>
    <w:rsid w:val="006F56EC"/>
    <w:rsid w:val="00701309"/>
    <w:rsid w:val="00702063"/>
    <w:rsid w:val="00703219"/>
    <w:rsid w:val="007052D4"/>
    <w:rsid w:val="007065F4"/>
    <w:rsid w:val="007075C9"/>
    <w:rsid w:val="00712B6C"/>
    <w:rsid w:val="00713785"/>
    <w:rsid w:val="00715815"/>
    <w:rsid w:val="00715E58"/>
    <w:rsid w:val="00716CB1"/>
    <w:rsid w:val="00717761"/>
    <w:rsid w:val="0072016C"/>
    <w:rsid w:val="0072019C"/>
    <w:rsid w:val="007203DE"/>
    <w:rsid w:val="00720810"/>
    <w:rsid w:val="00721A28"/>
    <w:rsid w:val="007264CA"/>
    <w:rsid w:val="007308BA"/>
    <w:rsid w:val="00732564"/>
    <w:rsid w:val="0073274B"/>
    <w:rsid w:val="00732AA7"/>
    <w:rsid w:val="00733A6E"/>
    <w:rsid w:val="00736144"/>
    <w:rsid w:val="00737890"/>
    <w:rsid w:val="007378CC"/>
    <w:rsid w:val="00737E42"/>
    <w:rsid w:val="00740EC7"/>
    <w:rsid w:val="00741712"/>
    <w:rsid w:val="00746BED"/>
    <w:rsid w:val="00751390"/>
    <w:rsid w:val="00752413"/>
    <w:rsid w:val="00752D52"/>
    <w:rsid w:val="007532AD"/>
    <w:rsid w:val="00754D34"/>
    <w:rsid w:val="00755430"/>
    <w:rsid w:val="00760DF5"/>
    <w:rsid w:val="00761A4C"/>
    <w:rsid w:val="0076302D"/>
    <w:rsid w:val="0076355A"/>
    <w:rsid w:val="0076383C"/>
    <w:rsid w:val="00764F3F"/>
    <w:rsid w:val="007657B0"/>
    <w:rsid w:val="0076655D"/>
    <w:rsid w:val="007719C5"/>
    <w:rsid w:val="00774AAB"/>
    <w:rsid w:val="00776B4D"/>
    <w:rsid w:val="00780E5D"/>
    <w:rsid w:val="00781F01"/>
    <w:rsid w:val="00783E68"/>
    <w:rsid w:val="00787AFE"/>
    <w:rsid w:val="007935D8"/>
    <w:rsid w:val="00793D78"/>
    <w:rsid w:val="00794D76"/>
    <w:rsid w:val="0079722D"/>
    <w:rsid w:val="007A0FDA"/>
    <w:rsid w:val="007A35FA"/>
    <w:rsid w:val="007A3ED4"/>
    <w:rsid w:val="007A50D2"/>
    <w:rsid w:val="007A6347"/>
    <w:rsid w:val="007A65D8"/>
    <w:rsid w:val="007B0650"/>
    <w:rsid w:val="007B0CA0"/>
    <w:rsid w:val="007B3240"/>
    <w:rsid w:val="007B4BD5"/>
    <w:rsid w:val="007B6094"/>
    <w:rsid w:val="007C03D4"/>
    <w:rsid w:val="007C1225"/>
    <w:rsid w:val="007C1A35"/>
    <w:rsid w:val="007C1EA0"/>
    <w:rsid w:val="007C22D9"/>
    <w:rsid w:val="007C2A50"/>
    <w:rsid w:val="007C4830"/>
    <w:rsid w:val="007C5B01"/>
    <w:rsid w:val="007C7753"/>
    <w:rsid w:val="007C79AA"/>
    <w:rsid w:val="007D0839"/>
    <w:rsid w:val="007D2B1E"/>
    <w:rsid w:val="007D3577"/>
    <w:rsid w:val="007D3ACB"/>
    <w:rsid w:val="007D4BCB"/>
    <w:rsid w:val="007D7167"/>
    <w:rsid w:val="007D7C64"/>
    <w:rsid w:val="007D7C7A"/>
    <w:rsid w:val="007E17A7"/>
    <w:rsid w:val="007E22F4"/>
    <w:rsid w:val="007E242B"/>
    <w:rsid w:val="007E4FD2"/>
    <w:rsid w:val="007E5C00"/>
    <w:rsid w:val="007E7072"/>
    <w:rsid w:val="007F0DB3"/>
    <w:rsid w:val="007F0ECB"/>
    <w:rsid w:val="007F216A"/>
    <w:rsid w:val="007F2CC0"/>
    <w:rsid w:val="007F3EBC"/>
    <w:rsid w:val="007F64EF"/>
    <w:rsid w:val="007F66AA"/>
    <w:rsid w:val="008000E8"/>
    <w:rsid w:val="008003B3"/>
    <w:rsid w:val="00802573"/>
    <w:rsid w:val="00804715"/>
    <w:rsid w:val="00807A69"/>
    <w:rsid w:val="00810CA9"/>
    <w:rsid w:val="0081248E"/>
    <w:rsid w:val="008135A2"/>
    <w:rsid w:val="00813A3C"/>
    <w:rsid w:val="00814EA9"/>
    <w:rsid w:val="008151D9"/>
    <w:rsid w:val="00817069"/>
    <w:rsid w:val="00820D4A"/>
    <w:rsid w:val="008215C6"/>
    <w:rsid w:val="00821DD8"/>
    <w:rsid w:val="008220BE"/>
    <w:rsid w:val="008248B0"/>
    <w:rsid w:val="00824DF0"/>
    <w:rsid w:val="00832B91"/>
    <w:rsid w:val="00832D22"/>
    <w:rsid w:val="008331A3"/>
    <w:rsid w:val="00834226"/>
    <w:rsid w:val="00835366"/>
    <w:rsid w:val="008359AA"/>
    <w:rsid w:val="00837A6E"/>
    <w:rsid w:val="00841B31"/>
    <w:rsid w:val="008449FC"/>
    <w:rsid w:val="00845013"/>
    <w:rsid w:val="00845944"/>
    <w:rsid w:val="008532BD"/>
    <w:rsid w:val="008549DA"/>
    <w:rsid w:val="00856944"/>
    <w:rsid w:val="00856DD0"/>
    <w:rsid w:val="00862E37"/>
    <w:rsid w:val="008640D2"/>
    <w:rsid w:val="0086530F"/>
    <w:rsid w:val="008675B8"/>
    <w:rsid w:val="0087063A"/>
    <w:rsid w:val="00870845"/>
    <w:rsid w:val="00871B6A"/>
    <w:rsid w:val="00873D82"/>
    <w:rsid w:val="0087449C"/>
    <w:rsid w:val="0087594A"/>
    <w:rsid w:val="00876728"/>
    <w:rsid w:val="00876D49"/>
    <w:rsid w:val="008804E5"/>
    <w:rsid w:val="00882214"/>
    <w:rsid w:val="00882A07"/>
    <w:rsid w:val="0088567D"/>
    <w:rsid w:val="008859ED"/>
    <w:rsid w:val="00886D0C"/>
    <w:rsid w:val="00887177"/>
    <w:rsid w:val="00887A9C"/>
    <w:rsid w:val="00891842"/>
    <w:rsid w:val="008931E1"/>
    <w:rsid w:val="00894B56"/>
    <w:rsid w:val="008A0946"/>
    <w:rsid w:val="008A1B21"/>
    <w:rsid w:val="008A4F81"/>
    <w:rsid w:val="008A6E10"/>
    <w:rsid w:val="008B38DC"/>
    <w:rsid w:val="008B5634"/>
    <w:rsid w:val="008B70D5"/>
    <w:rsid w:val="008C0E81"/>
    <w:rsid w:val="008C5547"/>
    <w:rsid w:val="008D2473"/>
    <w:rsid w:val="008D3725"/>
    <w:rsid w:val="008D44A0"/>
    <w:rsid w:val="008D6CDB"/>
    <w:rsid w:val="008E0049"/>
    <w:rsid w:val="008E1A94"/>
    <w:rsid w:val="008E31B6"/>
    <w:rsid w:val="008E45A0"/>
    <w:rsid w:val="008E57B7"/>
    <w:rsid w:val="008E5FF1"/>
    <w:rsid w:val="008F1930"/>
    <w:rsid w:val="008F24BA"/>
    <w:rsid w:val="008F25A8"/>
    <w:rsid w:val="008F4C1E"/>
    <w:rsid w:val="008F7725"/>
    <w:rsid w:val="009003D4"/>
    <w:rsid w:val="009005A6"/>
    <w:rsid w:val="00901300"/>
    <w:rsid w:val="00901745"/>
    <w:rsid w:val="009039E4"/>
    <w:rsid w:val="00905352"/>
    <w:rsid w:val="009058E1"/>
    <w:rsid w:val="00905C1D"/>
    <w:rsid w:val="009069AB"/>
    <w:rsid w:val="009106B0"/>
    <w:rsid w:val="00913217"/>
    <w:rsid w:val="009142D6"/>
    <w:rsid w:val="0091493C"/>
    <w:rsid w:val="009151AD"/>
    <w:rsid w:val="009159BA"/>
    <w:rsid w:val="009209C7"/>
    <w:rsid w:val="00921CE1"/>
    <w:rsid w:val="00922807"/>
    <w:rsid w:val="00923480"/>
    <w:rsid w:val="00923FE0"/>
    <w:rsid w:val="00924B34"/>
    <w:rsid w:val="00924DE1"/>
    <w:rsid w:val="00930F78"/>
    <w:rsid w:val="00932493"/>
    <w:rsid w:val="00933DBA"/>
    <w:rsid w:val="00940866"/>
    <w:rsid w:val="00941BE5"/>
    <w:rsid w:val="00942B46"/>
    <w:rsid w:val="00942BDA"/>
    <w:rsid w:val="00943CF8"/>
    <w:rsid w:val="009441E6"/>
    <w:rsid w:val="00951219"/>
    <w:rsid w:val="009516D2"/>
    <w:rsid w:val="00951B7C"/>
    <w:rsid w:val="00951E43"/>
    <w:rsid w:val="00952592"/>
    <w:rsid w:val="00953384"/>
    <w:rsid w:val="00953A85"/>
    <w:rsid w:val="0095417F"/>
    <w:rsid w:val="009556F2"/>
    <w:rsid w:val="00955982"/>
    <w:rsid w:val="00956520"/>
    <w:rsid w:val="0095682C"/>
    <w:rsid w:val="00961161"/>
    <w:rsid w:val="00961F50"/>
    <w:rsid w:val="00961FE6"/>
    <w:rsid w:val="009625EF"/>
    <w:rsid w:val="00963B12"/>
    <w:rsid w:val="00966639"/>
    <w:rsid w:val="00977CDE"/>
    <w:rsid w:val="00980112"/>
    <w:rsid w:val="009805FE"/>
    <w:rsid w:val="00982140"/>
    <w:rsid w:val="00982DCF"/>
    <w:rsid w:val="00985C8F"/>
    <w:rsid w:val="00985E22"/>
    <w:rsid w:val="00987C8B"/>
    <w:rsid w:val="00992423"/>
    <w:rsid w:val="009924B6"/>
    <w:rsid w:val="009A11AA"/>
    <w:rsid w:val="009A4520"/>
    <w:rsid w:val="009A5240"/>
    <w:rsid w:val="009A5E89"/>
    <w:rsid w:val="009A6F6E"/>
    <w:rsid w:val="009A7BDF"/>
    <w:rsid w:val="009B0AF2"/>
    <w:rsid w:val="009B4ED8"/>
    <w:rsid w:val="009B6D77"/>
    <w:rsid w:val="009C36DA"/>
    <w:rsid w:val="009C4E96"/>
    <w:rsid w:val="009C726A"/>
    <w:rsid w:val="009D4992"/>
    <w:rsid w:val="009D50E0"/>
    <w:rsid w:val="009E1A30"/>
    <w:rsid w:val="009E21C0"/>
    <w:rsid w:val="009E2E8D"/>
    <w:rsid w:val="009E31CC"/>
    <w:rsid w:val="009E45F4"/>
    <w:rsid w:val="009E77A3"/>
    <w:rsid w:val="009F044F"/>
    <w:rsid w:val="009F586F"/>
    <w:rsid w:val="009F5D63"/>
    <w:rsid w:val="009F5E65"/>
    <w:rsid w:val="00A0065B"/>
    <w:rsid w:val="00A033E7"/>
    <w:rsid w:val="00A03DAA"/>
    <w:rsid w:val="00A04B45"/>
    <w:rsid w:val="00A07460"/>
    <w:rsid w:val="00A120B5"/>
    <w:rsid w:val="00A12174"/>
    <w:rsid w:val="00A12DD8"/>
    <w:rsid w:val="00A13093"/>
    <w:rsid w:val="00A13D5F"/>
    <w:rsid w:val="00A142E0"/>
    <w:rsid w:val="00A143D4"/>
    <w:rsid w:val="00A156F7"/>
    <w:rsid w:val="00A15FDC"/>
    <w:rsid w:val="00A171C5"/>
    <w:rsid w:val="00A1764A"/>
    <w:rsid w:val="00A17992"/>
    <w:rsid w:val="00A20605"/>
    <w:rsid w:val="00A21249"/>
    <w:rsid w:val="00A21549"/>
    <w:rsid w:val="00A27D2A"/>
    <w:rsid w:val="00A27FE1"/>
    <w:rsid w:val="00A36356"/>
    <w:rsid w:val="00A367E7"/>
    <w:rsid w:val="00A403DA"/>
    <w:rsid w:val="00A416B1"/>
    <w:rsid w:val="00A43F46"/>
    <w:rsid w:val="00A45D9C"/>
    <w:rsid w:val="00A56419"/>
    <w:rsid w:val="00A579A4"/>
    <w:rsid w:val="00A61290"/>
    <w:rsid w:val="00A62011"/>
    <w:rsid w:val="00A63D3E"/>
    <w:rsid w:val="00A66F4A"/>
    <w:rsid w:val="00A7098F"/>
    <w:rsid w:val="00A70F32"/>
    <w:rsid w:val="00A71B36"/>
    <w:rsid w:val="00A71EE0"/>
    <w:rsid w:val="00A722FA"/>
    <w:rsid w:val="00A736F3"/>
    <w:rsid w:val="00A777E8"/>
    <w:rsid w:val="00A83908"/>
    <w:rsid w:val="00A84117"/>
    <w:rsid w:val="00A846D9"/>
    <w:rsid w:val="00A84F82"/>
    <w:rsid w:val="00A85C33"/>
    <w:rsid w:val="00A860C3"/>
    <w:rsid w:val="00A87335"/>
    <w:rsid w:val="00A909FA"/>
    <w:rsid w:val="00A937E5"/>
    <w:rsid w:val="00A94736"/>
    <w:rsid w:val="00A94769"/>
    <w:rsid w:val="00A95635"/>
    <w:rsid w:val="00A959ED"/>
    <w:rsid w:val="00A97E45"/>
    <w:rsid w:val="00AA0476"/>
    <w:rsid w:val="00AA07CC"/>
    <w:rsid w:val="00AA12E1"/>
    <w:rsid w:val="00AA1384"/>
    <w:rsid w:val="00AA255B"/>
    <w:rsid w:val="00AA2621"/>
    <w:rsid w:val="00AA47EB"/>
    <w:rsid w:val="00AB2007"/>
    <w:rsid w:val="00AB4031"/>
    <w:rsid w:val="00AB51A4"/>
    <w:rsid w:val="00AB55F8"/>
    <w:rsid w:val="00AB602C"/>
    <w:rsid w:val="00AB7362"/>
    <w:rsid w:val="00AC1096"/>
    <w:rsid w:val="00AC36C7"/>
    <w:rsid w:val="00AC6A9F"/>
    <w:rsid w:val="00AC6BAC"/>
    <w:rsid w:val="00AC7CAB"/>
    <w:rsid w:val="00AD0AF0"/>
    <w:rsid w:val="00AD0B54"/>
    <w:rsid w:val="00AD0F05"/>
    <w:rsid w:val="00AD232C"/>
    <w:rsid w:val="00AD24B4"/>
    <w:rsid w:val="00AD3B4A"/>
    <w:rsid w:val="00AD5B9B"/>
    <w:rsid w:val="00AD673E"/>
    <w:rsid w:val="00AE0B3D"/>
    <w:rsid w:val="00AE1A5D"/>
    <w:rsid w:val="00AE2374"/>
    <w:rsid w:val="00AE2B32"/>
    <w:rsid w:val="00AE3EED"/>
    <w:rsid w:val="00AE5DB5"/>
    <w:rsid w:val="00AE7EE3"/>
    <w:rsid w:val="00AF09B0"/>
    <w:rsid w:val="00AF1213"/>
    <w:rsid w:val="00AF430F"/>
    <w:rsid w:val="00AF68B5"/>
    <w:rsid w:val="00AF71C8"/>
    <w:rsid w:val="00B00AE3"/>
    <w:rsid w:val="00B0140A"/>
    <w:rsid w:val="00B0399C"/>
    <w:rsid w:val="00B03E0C"/>
    <w:rsid w:val="00B05962"/>
    <w:rsid w:val="00B075C9"/>
    <w:rsid w:val="00B07B52"/>
    <w:rsid w:val="00B1063C"/>
    <w:rsid w:val="00B112C1"/>
    <w:rsid w:val="00B122DA"/>
    <w:rsid w:val="00B126F9"/>
    <w:rsid w:val="00B14EE9"/>
    <w:rsid w:val="00B15AA4"/>
    <w:rsid w:val="00B16722"/>
    <w:rsid w:val="00B1690A"/>
    <w:rsid w:val="00B204B0"/>
    <w:rsid w:val="00B231AB"/>
    <w:rsid w:val="00B233FA"/>
    <w:rsid w:val="00B245BC"/>
    <w:rsid w:val="00B24E89"/>
    <w:rsid w:val="00B27794"/>
    <w:rsid w:val="00B317AC"/>
    <w:rsid w:val="00B33F80"/>
    <w:rsid w:val="00B3479D"/>
    <w:rsid w:val="00B34DAA"/>
    <w:rsid w:val="00B42786"/>
    <w:rsid w:val="00B43D90"/>
    <w:rsid w:val="00B4505F"/>
    <w:rsid w:val="00B463D1"/>
    <w:rsid w:val="00B47268"/>
    <w:rsid w:val="00B4789F"/>
    <w:rsid w:val="00B479AC"/>
    <w:rsid w:val="00B502F9"/>
    <w:rsid w:val="00B51119"/>
    <w:rsid w:val="00B51745"/>
    <w:rsid w:val="00B528E4"/>
    <w:rsid w:val="00B558AD"/>
    <w:rsid w:val="00B613A2"/>
    <w:rsid w:val="00B61747"/>
    <w:rsid w:val="00B62546"/>
    <w:rsid w:val="00B625E4"/>
    <w:rsid w:val="00B625FC"/>
    <w:rsid w:val="00B64FF0"/>
    <w:rsid w:val="00B65A49"/>
    <w:rsid w:val="00B65D69"/>
    <w:rsid w:val="00B66C55"/>
    <w:rsid w:val="00B67A32"/>
    <w:rsid w:val="00B72F6A"/>
    <w:rsid w:val="00B7646A"/>
    <w:rsid w:val="00B80210"/>
    <w:rsid w:val="00B8187B"/>
    <w:rsid w:val="00B8746B"/>
    <w:rsid w:val="00B91EB8"/>
    <w:rsid w:val="00B92272"/>
    <w:rsid w:val="00B92615"/>
    <w:rsid w:val="00B95DA8"/>
    <w:rsid w:val="00B977E9"/>
    <w:rsid w:val="00BA027D"/>
    <w:rsid w:val="00BA0ABD"/>
    <w:rsid w:val="00BA1117"/>
    <w:rsid w:val="00BA15A4"/>
    <w:rsid w:val="00BA4010"/>
    <w:rsid w:val="00BA4AC9"/>
    <w:rsid w:val="00BA55AF"/>
    <w:rsid w:val="00BA615D"/>
    <w:rsid w:val="00BB047A"/>
    <w:rsid w:val="00BB0D77"/>
    <w:rsid w:val="00BB0DB0"/>
    <w:rsid w:val="00BB1119"/>
    <w:rsid w:val="00BB28C9"/>
    <w:rsid w:val="00BB52A2"/>
    <w:rsid w:val="00BB6018"/>
    <w:rsid w:val="00BB653F"/>
    <w:rsid w:val="00BB6835"/>
    <w:rsid w:val="00BB7C36"/>
    <w:rsid w:val="00BC1F8F"/>
    <w:rsid w:val="00BC28C4"/>
    <w:rsid w:val="00BC30E2"/>
    <w:rsid w:val="00BC3FAE"/>
    <w:rsid w:val="00BC45EA"/>
    <w:rsid w:val="00BC55FA"/>
    <w:rsid w:val="00BC74EB"/>
    <w:rsid w:val="00BC7A4A"/>
    <w:rsid w:val="00BD0292"/>
    <w:rsid w:val="00BD0BD7"/>
    <w:rsid w:val="00BD12AB"/>
    <w:rsid w:val="00BD3B7B"/>
    <w:rsid w:val="00BE3DAD"/>
    <w:rsid w:val="00BE4066"/>
    <w:rsid w:val="00BE692B"/>
    <w:rsid w:val="00BE74BA"/>
    <w:rsid w:val="00BE7B2E"/>
    <w:rsid w:val="00BE7CD5"/>
    <w:rsid w:val="00BF0612"/>
    <w:rsid w:val="00BF0A94"/>
    <w:rsid w:val="00BF1A76"/>
    <w:rsid w:val="00BF1A96"/>
    <w:rsid w:val="00BF591F"/>
    <w:rsid w:val="00BF7639"/>
    <w:rsid w:val="00C0090B"/>
    <w:rsid w:val="00C00EE4"/>
    <w:rsid w:val="00C01B90"/>
    <w:rsid w:val="00C061FA"/>
    <w:rsid w:val="00C11B5D"/>
    <w:rsid w:val="00C11F0B"/>
    <w:rsid w:val="00C122E5"/>
    <w:rsid w:val="00C14217"/>
    <w:rsid w:val="00C15347"/>
    <w:rsid w:val="00C158C0"/>
    <w:rsid w:val="00C15C38"/>
    <w:rsid w:val="00C20828"/>
    <w:rsid w:val="00C213B6"/>
    <w:rsid w:val="00C23CC5"/>
    <w:rsid w:val="00C279DD"/>
    <w:rsid w:val="00C27B84"/>
    <w:rsid w:val="00C32E65"/>
    <w:rsid w:val="00C333DA"/>
    <w:rsid w:val="00C3367D"/>
    <w:rsid w:val="00C34403"/>
    <w:rsid w:val="00C3495E"/>
    <w:rsid w:val="00C35D8A"/>
    <w:rsid w:val="00C44233"/>
    <w:rsid w:val="00C46B1B"/>
    <w:rsid w:val="00C50E40"/>
    <w:rsid w:val="00C51E2C"/>
    <w:rsid w:val="00C52959"/>
    <w:rsid w:val="00C56FCC"/>
    <w:rsid w:val="00C609F3"/>
    <w:rsid w:val="00C6143D"/>
    <w:rsid w:val="00C62651"/>
    <w:rsid w:val="00C65055"/>
    <w:rsid w:val="00C65520"/>
    <w:rsid w:val="00C73D7E"/>
    <w:rsid w:val="00C73E48"/>
    <w:rsid w:val="00C752E8"/>
    <w:rsid w:val="00C76232"/>
    <w:rsid w:val="00C8254E"/>
    <w:rsid w:val="00C83F37"/>
    <w:rsid w:val="00C914BF"/>
    <w:rsid w:val="00C93AF3"/>
    <w:rsid w:val="00C96A2E"/>
    <w:rsid w:val="00CA1FEA"/>
    <w:rsid w:val="00CA2A2C"/>
    <w:rsid w:val="00CA47D5"/>
    <w:rsid w:val="00CA7EB8"/>
    <w:rsid w:val="00CB0BCF"/>
    <w:rsid w:val="00CB1645"/>
    <w:rsid w:val="00CB30F6"/>
    <w:rsid w:val="00CB3270"/>
    <w:rsid w:val="00CB4BC0"/>
    <w:rsid w:val="00CB5201"/>
    <w:rsid w:val="00CB7267"/>
    <w:rsid w:val="00CB778A"/>
    <w:rsid w:val="00CC2A83"/>
    <w:rsid w:val="00CC2C97"/>
    <w:rsid w:val="00CC3772"/>
    <w:rsid w:val="00CC44A8"/>
    <w:rsid w:val="00CC483B"/>
    <w:rsid w:val="00CC4D6F"/>
    <w:rsid w:val="00CC55F1"/>
    <w:rsid w:val="00CC5D7E"/>
    <w:rsid w:val="00CC60E0"/>
    <w:rsid w:val="00CC7465"/>
    <w:rsid w:val="00CC7C23"/>
    <w:rsid w:val="00CC7E94"/>
    <w:rsid w:val="00CC7EDD"/>
    <w:rsid w:val="00CD09DA"/>
    <w:rsid w:val="00CD15CB"/>
    <w:rsid w:val="00CD2C8F"/>
    <w:rsid w:val="00CD4735"/>
    <w:rsid w:val="00CD7250"/>
    <w:rsid w:val="00CE2799"/>
    <w:rsid w:val="00CE7C65"/>
    <w:rsid w:val="00CF132C"/>
    <w:rsid w:val="00CF197F"/>
    <w:rsid w:val="00CF4F4F"/>
    <w:rsid w:val="00CF53C8"/>
    <w:rsid w:val="00D008DF"/>
    <w:rsid w:val="00D03270"/>
    <w:rsid w:val="00D04A22"/>
    <w:rsid w:val="00D053E7"/>
    <w:rsid w:val="00D05F06"/>
    <w:rsid w:val="00D07074"/>
    <w:rsid w:val="00D07766"/>
    <w:rsid w:val="00D103CC"/>
    <w:rsid w:val="00D10F42"/>
    <w:rsid w:val="00D12D45"/>
    <w:rsid w:val="00D15137"/>
    <w:rsid w:val="00D15A72"/>
    <w:rsid w:val="00D17AF5"/>
    <w:rsid w:val="00D24030"/>
    <w:rsid w:val="00D25F7F"/>
    <w:rsid w:val="00D2611E"/>
    <w:rsid w:val="00D26342"/>
    <w:rsid w:val="00D26B13"/>
    <w:rsid w:val="00D27F03"/>
    <w:rsid w:val="00D316CF"/>
    <w:rsid w:val="00D37D1D"/>
    <w:rsid w:val="00D409E6"/>
    <w:rsid w:val="00D41C6F"/>
    <w:rsid w:val="00D43342"/>
    <w:rsid w:val="00D4545E"/>
    <w:rsid w:val="00D470C8"/>
    <w:rsid w:val="00D527B4"/>
    <w:rsid w:val="00D54786"/>
    <w:rsid w:val="00D606C1"/>
    <w:rsid w:val="00D653D1"/>
    <w:rsid w:val="00D66D8A"/>
    <w:rsid w:val="00D715FC"/>
    <w:rsid w:val="00D71666"/>
    <w:rsid w:val="00D74A36"/>
    <w:rsid w:val="00D75C20"/>
    <w:rsid w:val="00D765C7"/>
    <w:rsid w:val="00D77EDB"/>
    <w:rsid w:val="00D806F6"/>
    <w:rsid w:val="00D82D45"/>
    <w:rsid w:val="00D83C05"/>
    <w:rsid w:val="00D84D62"/>
    <w:rsid w:val="00D860D6"/>
    <w:rsid w:val="00D861C9"/>
    <w:rsid w:val="00D86468"/>
    <w:rsid w:val="00D900ED"/>
    <w:rsid w:val="00D920F2"/>
    <w:rsid w:val="00D92B02"/>
    <w:rsid w:val="00D934A4"/>
    <w:rsid w:val="00D95255"/>
    <w:rsid w:val="00D95B57"/>
    <w:rsid w:val="00D95DB4"/>
    <w:rsid w:val="00DA0227"/>
    <w:rsid w:val="00DA0E82"/>
    <w:rsid w:val="00DA0FBB"/>
    <w:rsid w:val="00DA13D0"/>
    <w:rsid w:val="00DA14CE"/>
    <w:rsid w:val="00DA3DE8"/>
    <w:rsid w:val="00DA5B93"/>
    <w:rsid w:val="00DA6E36"/>
    <w:rsid w:val="00DA74BE"/>
    <w:rsid w:val="00DA7DC9"/>
    <w:rsid w:val="00DB23D9"/>
    <w:rsid w:val="00DB3ABC"/>
    <w:rsid w:val="00DB4C2B"/>
    <w:rsid w:val="00DB55A0"/>
    <w:rsid w:val="00DB58C5"/>
    <w:rsid w:val="00DB7A7A"/>
    <w:rsid w:val="00DC2BF1"/>
    <w:rsid w:val="00DC3CC9"/>
    <w:rsid w:val="00DC449D"/>
    <w:rsid w:val="00DC4D01"/>
    <w:rsid w:val="00DC63F9"/>
    <w:rsid w:val="00DD34F7"/>
    <w:rsid w:val="00DD5098"/>
    <w:rsid w:val="00DD5167"/>
    <w:rsid w:val="00DD6EB3"/>
    <w:rsid w:val="00DD7A73"/>
    <w:rsid w:val="00DE01FF"/>
    <w:rsid w:val="00DE16AE"/>
    <w:rsid w:val="00DE1AF4"/>
    <w:rsid w:val="00DE23A9"/>
    <w:rsid w:val="00DE26C2"/>
    <w:rsid w:val="00DE2C84"/>
    <w:rsid w:val="00DE3CDA"/>
    <w:rsid w:val="00DE6729"/>
    <w:rsid w:val="00DE7775"/>
    <w:rsid w:val="00DF360A"/>
    <w:rsid w:val="00DF3C79"/>
    <w:rsid w:val="00DF48C5"/>
    <w:rsid w:val="00DF4D47"/>
    <w:rsid w:val="00DF51B4"/>
    <w:rsid w:val="00DF6712"/>
    <w:rsid w:val="00DF6AB9"/>
    <w:rsid w:val="00E01A84"/>
    <w:rsid w:val="00E035A3"/>
    <w:rsid w:val="00E04473"/>
    <w:rsid w:val="00E04DA1"/>
    <w:rsid w:val="00E05B56"/>
    <w:rsid w:val="00E065CF"/>
    <w:rsid w:val="00E0671E"/>
    <w:rsid w:val="00E06C03"/>
    <w:rsid w:val="00E07696"/>
    <w:rsid w:val="00E07C6B"/>
    <w:rsid w:val="00E1326B"/>
    <w:rsid w:val="00E14BD7"/>
    <w:rsid w:val="00E154A5"/>
    <w:rsid w:val="00E154F4"/>
    <w:rsid w:val="00E15BEC"/>
    <w:rsid w:val="00E162C4"/>
    <w:rsid w:val="00E21216"/>
    <w:rsid w:val="00E2263A"/>
    <w:rsid w:val="00E22748"/>
    <w:rsid w:val="00E22E24"/>
    <w:rsid w:val="00E24107"/>
    <w:rsid w:val="00E2447F"/>
    <w:rsid w:val="00E24CBC"/>
    <w:rsid w:val="00E258E8"/>
    <w:rsid w:val="00E31BED"/>
    <w:rsid w:val="00E3211D"/>
    <w:rsid w:val="00E323DD"/>
    <w:rsid w:val="00E416EE"/>
    <w:rsid w:val="00E41ADF"/>
    <w:rsid w:val="00E42344"/>
    <w:rsid w:val="00E458D8"/>
    <w:rsid w:val="00E46B8D"/>
    <w:rsid w:val="00E50C19"/>
    <w:rsid w:val="00E50CDA"/>
    <w:rsid w:val="00E5165F"/>
    <w:rsid w:val="00E53993"/>
    <w:rsid w:val="00E54FEA"/>
    <w:rsid w:val="00E61A0D"/>
    <w:rsid w:val="00E62506"/>
    <w:rsid w:val="00E6354F"/>
    <w:rsid w:val="00E65575"/>
    <w:rsid w:val="00E67417"/>
    <w:rsid w:val="00E70252"/>
    <w:rsid w:val="00E70F17"/>
    <w:rsid w:val="00E71A49"/>
    <w:rsid w:val="00E7439F"/>
    <w:rsid w:val="00E8037A"/>
    <w:rsid w:val="00E84E4C"/>
    <w:rsid w:val="00E879AC"/>
    <w:rsid w:val="00E926F3"/>
    <w:rsid w:val="00E93634"/>
    <w:rsid w:val="00E941A7"/>
    <w:rsid w:val="00E94402"/>
    <w:rsid w:val="00E96793"/>
    <w:rsid w:val="00E968A7"/>
    <w:rsid w:val="00E96EF5"/>
    <w:rsid w:val="00EA0635"/>
    <w:rsid w:val="00EA1886"/>
    <w:rsid w:val="00EA306C"/>
    <w:rsid w:val="00EA43EC"/>
    <w:rsid w:val="00EA591B"/>
    <w:rsid w:val="00EA6FD0"/>
    <w:rsid w:val="00EB08B3"/>
    <w:rsid w:val="00EB35D1"/>
    <w:rsid w:val="00EB43B4"/>
    <w:rsid w:val="00EB4D3F"/>
    <w:rsid w:val="00EB7363"/>
    <w:rsid w:val="00EC0E4A"/>
    <w:rsid w:val="00EC6132"/>
    <w:rsid w:val="00EC7274"/>
    <w:rsid w:val="00EC764B"/>
    <w:rsid w:val="00EC7778"/>
    <w:rsid w:val="00EE1907"/>
    <w:rsid w:val="00EE2085"/>
    <w:rsid w:val="00EE3AC8"/>
    <w:rsid w:val="00EE616A"/>
    <w:rsid w:val="00EE7B29"/>
    <w:rsid w:val="00EF296A"/>
    <w:rsid w:val="00EF3545"/>
    <w:rsid w:val="00EF48D2"/>
    <w:rsid w:val="00EF6C7D"/>
    <w:rsid w:val="00F0099E"/>
    <w:rsid w:val="00F00D77"/>
    <w:rsid w:val="00F03150"/>
    <w:rsid w:val="00F040D4"/>
    <w:rsid w:val="00F048AD"/>
    <w:rsid w:val="00F060A7"/>
    <w:rsid w:val="00F07A1A"/>
    <w:rsid w:val="00F12439"/>
    <w:rsid w:val="00F13B53"/>
    <w:rsid w:val="00F16B57"/>
    <w:rsid w:val="00F16E5A"/>
    <w:rsid w:val="00F20808"/>
    <w:rsid w:val="00F2124D"/>
    <w:rsid w:val="00F2189C"/>
    <w:rsid w:val="00F22E3E"/>
    <w:rsid w:val="00F252E0"/>
    <w:rsid w:val="00F257AB"/>
    <w:rsid w:val="00F26C1D"/>
    <w:rsid w:val="00F26EA4"/>
    <w:rsid w:val="00F26FDA"/>
    <w:rsid w:val="00F30C20"/>
    <w:rsid w:val="00F314C9"/>
    <w:rsid w:val="00F325A1"/>
    <w:rsid w:val="00F37AEB"/>
    <w:rsid w:val="00F41859"/>
    <w:rsid w:val="00F438A4"/>
    <w:rsid w:val="00F44715"/>
    <w:rsid w:val="00F458D3"/>
    <w:rsid w:val="00F46EBA"/>
    <w:rsid w:val="00F529AD"/>
    <w:rsid w:val="00F52FEB"/>
    <w:rsid w:val="00F547AD"/>
    <w:rsid w:val="00F54AED"/>
    <w:rsid w:val="00F55868"/>
    <w:rsid w:val="00F57880"/>
    <w:rsid w:val="00F57EDF"/>
    <w:rsid w:val="00F60191"/>
    <w:rsid w:val="00F6292A"/>
    <w:rsid w:val="00F638E7"/>
    <w:rsid w:val="00F6658A"/>
    <w:rsid w:val="00F66FF3"/>
    <w:rsid w:val="00F70380"/>
    <w:rsid w:val="00F776A9"/>
    <w:rsid w:val="00F81369"/>
    <w:rsid w:val="00F8245E"/>
    <w:rsid w:val="00F82C19"/>
    <w:rsid w:val="00F83A38"/>
    <w:rsid w:val="00F87C2E"/>
    <w:rsid w:val="00F96B8A"/>
    <w:rsid w:val="00FA154D"/>
    <w:rsid w:val="00FA41FE"/>
    <w:rsid w:val="00FA4A7C"/>
    <w:rsid w:val="00FA5410"/>
    <w:rsid w:val="00FA6B80"/>
    <w:rsid w:val="00FA6DF5"/>
    <w:rsid w:val="00FB2833"/>
    <w:rsid w:val="00FB30F3"/>
    <w:rsid w:val="00FB3C92"/>
    <w:rsid w:val="00FC03C4"/>
    <w:rsid w:val="00FC0C12"/>
    <w:rsid w:val="00FC1C78"/>
    <w:rsid w:val="00FC589E"/>
    <w:rsid w:val="00FD2257"/>
    <w:rsid w:val="00FD23AB"/>
    <w:rsid w:val="00FD3329"/>
    <w:rsid w:val="00FD4294"/>
    <w:rsid w:val="00FD5857"/>
    <w:rsid w:val="00FD603F"/>
    <w:rsid w:val="00FE084C"/>
    <w:rsid w:val="00FE08A2"/>
    <w:rsid w:val="00FE10ED"/>
    <w:rsid w:val="00FE13DF"/>
    <w:rsid w:val="00FE38A5"/>
    <w:rsid w:val="00FE42B1"/>
    <w:rsid w:val="00FE65A4"/>
    <w:rsid w:val="00FF4042"/>
    <w:rsid w:val="00FF60E4"/>
    <w:rsid w:val="00FF6D6C"/>
  </w:rsids>
  <m:mathPr>
    <m:mathFont m:val="Cambria Math"/>
    <m:brkBin m:val="before"/>
    <m:brkBinSub m:val="--"/>
    <m:smallFrac m:val="0"/>
    <m:dispDef/>
    <m:lMargin m:val="0"/>
    <m:rMargin m:val="0"/>
    <m:defJc m:val="centerGroup"/>
    <m:wrapIndent m:val="1440"/>
    <m:intLim m:val="subSup"/>
    <m:naryLim m:val="undOvr"/>
  </m:mathPr>
  <w:themeFontLang w:val="en-CA"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2FA257"/>
  <w15:chartTrackingRefBased/>
  <w15:docId w15:val="{D878EF79-1FF7-8840-934C-677AEFCB46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CA"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19C5"/>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D690E"/>
    <w:rPr>
      <w:color w:val="0563C1" w:themeColor="hyperlink"/>
      <w:u w:val="single"/>
    </w:rPr>
  </w:style>
  <w:style w:type="character" w:styleId="UnresolvedMention">
    <w:name w:val="Unresolved Mention"/>
    <w:basedOn w:val="DefaultParagraphFont"/>
    <w:uiPriority w:val="99"/>
    <w:semiHidden/>
    <w:unhideWhenUsed/>
    <w:rsid w:val="002D690E"/>
    <w:rPr>
      <w:color w:val="605E5C"/>
      <w:shd w:val="clear" w:color="auto" w:fill="E1DFDD"/>
    </w:rPr>
  </w:style>
  <w:style w:type="paragraph" w:styleId="Footer">
    <w:name w:val="footer"/>
    <w:basedOn w:val="Normal"/>
    <w:link w:val="FooterChar"/>
    <w:uiPriority w:val="99"/>
    <w:unhideWhenUsed/>
    <w:rsid w:val="001A54F7"/>
    <w:pPr>
      <w:tabs>
        <w:tab w:val="center" w:pos="4680"/>
        <w:tab w:val="right" w:pos="9360"/>
      </w:tabs>
    </w:pPr>
    <w:rPr>
      <w:rFonts w:asciiTheme="minorHAnsi" w:eastAsiaTheme="minorEastAsia" w:hAnsiTheme="minorHAnsi" w:cstheme="minorBidi"/>
    </w:rPr>
  </w:style>
  <w:style w:type="character" w:customStyle="1" w:styleId="FooterChar">
    <w:name w:val="Footer Char"/>
    <w:basedOn w:val="DefaultParagraphFont"/>
    <w:link w:val="Footer"/>
    <w:uiPriority w:val="99"/>
    <w:rsid w:val="001A54F7"/>
  </w:style>
  <w:style w:type="character" w:styleId="PageNumber">
    <w:name w:val="page number"/>
    <w:basedOn w:val="DefaultParagraphFont"/>
    <w:uiPriority w:val="99"/>
    <w:semiHidden/>
    <w:unhideWhenUsed/>
    <w:rsid w:val="001A54F7"/>
  </w:style>
  <w:style w:type="paragraph" w:styleId="Header">
    <w:name w:val="header"/>
    <w:basedOn w:val="Normal"/>
    <w:link w:val="HeaderChar"/>
    <w:uiPriority w:val="99"/>
    <w:unhideWhenUsed/>
    <w:rsid w:val="00966639"/>
    <w:pPr>
      <w:tabs>
        <w:tab w:val="center" w:pos="4680"/>
        <w:tab w:val="right" w:pos="9360"/>
      </w:tabs>
    </w:pPr>
    <w:rPr>
      <w:rFonts w:asciiTheme="minorHAnsi" w:eastAsiaTheme="minorEastAsia" w:hAnsiTheme="minorHAnsi" w:cstheme="minorBidi"/>
    </w:rPr>
  </w:style>
  <w:style w:type="character" w:customStyle="1" w:styleId="HeaderChar">
    <w:name w:val="Header Char"/>
    <w:basedOn w:val="DefaultParagraphFont"/>
    <w:link w:val="Header"/>
    <w:uiPriority w:val="99"/>
    <w:rsid w:val="00966639"/>
  </w:style>
  <w:style w:type="paragraph" w:styleId="ListParagraph">
    <w:name w:val="List Paragraph"/>
    <w:basedOn w:val="Normal"/>
    <w:uiPriority w:val="34"/>
    <w:qFormat/>
    <w:rsid w:val="00537792"/>
    <w:pPr>
      <w:ind w:left="720"/>
      <w:contextualSpacing/>
    </w:pPr>
    <w:rPr>
      <w:rFonts w:asciiTheme="minorHAnsi" w:eastAsiaTheme="minorEastAsia" w:hAnsiTheme="minorHAnsi" w:cstheme="minorBidi"/>
    </w:rPr>
  </w:style>
  <w:style w:type="character" w:styleId="LineNumber">
    <w:name w:val="line number"/>
    <w:basedOn w:val="DefaultParagraphFont"/>
    <w:uiPriority w:val="99"/>
    <w:semiHidden/>
    <w:unhideWhenUsed/>
    <w:rsid w:val="004227F1"/>
  </w:style>
  <w:style w:type="character" w:styleId="PlaceholderText">
    <w:name w:val="Placeholder Text"/>
    <w:basedOn w:val="DefaultParagraphFont"/>
    <w:uiPriority w:val="99"/>
    <w:semiHidden/>
    <w:rsid w:val="001149A1"/>
    <w:rPr>
      <w:color w:val="808080"/>
    </w:rPr>
  </w:style>
  <w:style w:type="paragraph" w:styleId="Bibliography">
    <w:name w:val="Bibliography"/>
    <w:basedOn w:val="Normal"/>
    <w:next w:val="Normal"/>
    <w:uiPriority w:val="37"/>
    <w:unhideWhenUsed/>
    <w:rsid w:val="008135A2"/>
    <w:pPr>
      <w:tabs>
        <w:tab w:val="left" w:pos="500"/>
      </w:tabs>
      <w:spacing w:after="240"/>
      <w:ind w:left="504" w:hanging="504"/>
    </w:pPr>
    <w:rPr>
      <w:rFonts w:asciiTheme="minorHAnsi" w:eastAsiaTheme="minorEastAsia" w:hAnsiTheme="minorHAnsi" w:cstheme="minorBidi"/>
    </w:rPr>
  </w:style>
  <w:style w:type="table" w:customStyle="1" w:styleId="TableGrid">
    <w:name w:val="TableGrid"/>
    <w:rsid w:val="004B6F79"/>
    <w:rPr>
      <w:sz w:val="22"/>
      <w:szCs w:val="22"/>
      <w:lang w:val="en-US"/>
    </w:rPr>
    <w:tblPr>
      <w:tblCellMar>
        <w:top w:w="0" w:type="dxa"/>
        <w:left w:w="0" w:type="dxa"/>
        <w:bottom w:w="0" w:type="dxa"/>
        <w:right w:w="0" w:type="dxa"/>
      </w:tblCellMar>
    </w:tblPr>
  </w:style>
  <w:style w:type="paragraph" w:styleId="EndnoteText">
    <w:name w:val="endnote text"/>
    <w:basedOn w:val="Normal"/>
    <w:link w:val="EndnoteTextChar"/>
    <w:uiPriority w:val="99"/>
    <w:unhideWhenUsed/>
    <w:rsid w:val="004832BA"/>
    <w:rPr>
      <w:rFonts w:asciiTheme="minorHAnsi" w:eastAsiaTheme="minorEastAsia" w:hAnsiTheme="minorHAnsi" w:cstheme="minorBidi"/>
      <w:sz w:val="20"/>
      <w:szCs w:val="20"/>
    </w:rPr>
  </w:style>
  <w:style w:type="character" w:customStyle="1" w:styleId="EndnoteTextChar">
    <w:name w:val="Endnote Text Char"/>
    <w:basedOn w:val="DefaultParagraphFont"/>
    <w:link w:val="EndnoteText"/>
    <w:uiPriority w:val="99"/>
    <w:rsid w:val="004832BA"/>
    <w:rPr>
      <w:sz w:val="20"/>
      <w:szCs w:val="20"/>
    </w:rPr>
  </w:style>
  <w:style w:type="character" w:styleId="EndnoteReference">
    <w:name w:val="endnote reference"/>
    <w:basedOn w:val="DefaultParagraphFont"/>
    <w:uiPriority w:val="99"/>
    <w:semiHidden/>
    <w:unhideWhenUsed/>
    <w:rsid w:val="004832BA"/>
    <w:rPr>
      <w:vertAlign w:val="superscript"/>
    </w:rPr>
  </w:style>
  <w:style w:type="paragraph" w:styleId="FootnoteText">
    <w:name w:val="footnote text"/>
    <w:basedOn w:val="Normal"/>
    <w:link w:val="FootnoteTextChar"/>
    <w:uiPriority w:val="99"/>
    <w:unhideWhenUsed/>
    <w:rsid w:val="004832BA"/>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uiPriority w:val="99"/>
    <w:rsid w:val="004832BA"/>
    <w:rPr>
      <w:sz w:val="20"/>
      <w:szCs w:val="20"/>
    </w:rPr>
  </w:style>
  <w:style w:type="character" w:styleId="FootnoteReference">
    <w:name w:val="footnote reference"/>
    <w:basedOn w:val="DefaultParagraphFont"/>
    <w:uiPriority w:val="99"/>
    <w:semiHidden/>
    <w:unhideWhenUsed/>
    <w:rsid w:val="004832BA"/>
    <w:rPr>
      <w:vertAlign w:val="superscript"/>
    </w:rPr>
  </w:style>
  <w:style w:type="paragraph" w:styleId="Caption">
    <w:name w:val="caption"/>
    <w:basedOn w:val="Normal"/>
    <w:next w:val="Normal"/>
    <w:uiPriority w:val="35"/>
    <w:unhideWhenUsed/>
    <w:qFormat/>
    <w:rsid w:val="007F2CC0"/>
    <w:pPr>
      <w:spacing w:after="200"/>
    </w:pPr>
    <w:rPr>
      <w:rFonts w:asciiTheme="minorHAnsi" w:eastAsiaTheme="minorEastAsia" w:hAnsiTheme="minorHAnsi" w:cstheme="minorBidi"/>
      <w:i/>
      <w:iCs/>
      <w:color w:val="44546A" w:themeColor="text2"/>
      <w:sz w:val="18"/>
      <w:szCs w:val="18"/>
    </w:rPr>
  </w:style>
  <w:style w:type="character" w:customStyle="1" w:styleId="apple-converted-space">
    <w:name w:val="apple-converted-space"/>
    <w:basedOn w:val="DefaultParagraphFont"/>
    <w:rsid w:val="00467B9D"/>
  </w:style>
  <w:style w:type="character" w:styleId="Emphasis">
    <w:name w:val="Emphasis"/>
    <w:basedOn w:val="DefaultParagraphFont"/>
    <w:uiPriority w:val="20"/>
    <w:qFormat/>
    <w:rsid w:val="00467B9D"/>
    <w:rPr>
      <w:i/>
      <w:iCs/>
    </w:rPr>
  </w:style>
  <w:style w:type="paragraph" w:styleId="BalloonText">
    <w:name w:val="Balloon Text"/>
    <w:basedOn w:val="Normal"/>
    <w:link w:val="BalloonTextChar"/>
    <w:uiPriority w:val="99"/>
    <w:semiHidden/>
    <w:unhideWhenUsed/>
    <w:rsid w:val="00732AA7"/>
    <w:rPr>
      <w:sz w:val="18"/>
      <w:szCs w:val="18"/>
    </w:rPr>
  </w:style>
  <w:style w:type="character" w:customStyle="1" w:styleId="BalloonTextChar">
    <w:name w:val="Balloon Text Char"/>
    <w:basedOn w:val="DefaultParagraphFont"/>
    <w:link w:val="BalloonText"/>
    <w:uiPriority w:val="99"/>
    <w:semiHidden/>
    <w:rsid w:val="00732AA7"/>
    <w:rPr>
      <w:rFonts w:ascii="Times New Roman" w:eastAsia="Times New Roman" w:hAnsi="Times New Roman" w:cs="Times New Roman"/>
      <w:sz w:val="18"/>
      <w:szCs w:val="18"/>
    </w:rPr>
  </w:style>
  <w:style w:type="paragraph" w:styleId="Revision">
    <w:name w:val="Revision"/>
    <w:hidden/>
    <w:uiPriority w:val="99"/>
    <w:semiHidden/>
    <w:rsid w:val="003F6C5F"/>
    <w:rPr>
      <w:rFonts w:ascii="Times New Roman" w:eastAsia="Times New Roman" w:hAnsi="Times New Roman" w:cs="Times New Roman"/>
    </w:rPr>
  </w:style>
  <w:style w:type="character" w:styleId="FollowedHyperlink">
    <w:name w:val="FollowedHyperlink"/>
    <w:basedOn w:val="DefaultParagraphFont"/>
    <w:uiPriority w:val="99"/>
    <w:semiHidden/>
    <w:unhideWhenUsed/>
    <w:rsid w:val="00DC3CC9"/>
    <w:rPr>
      <w:color w:val="954F72" w:themeColor="followedHyperlink"/>
      <w:u w:val="single"/>
    </w:rPr>
  </w:style>
  <w:style w:type="paragraph" w:customStyle="1" w:styleId="Bibliography1">
    <w:name w:val="Bibliography1"/>
    <w:basedOn w:val="Normal"/>
    <w:next w:val="Normal"/>
    <w:uiPriority w:val="37"/>
    <w:unhideWhenUsed/>
    <w:rsid w:val="005E63B5"/>
    <w:pPr>
      <w:tabs>
        <w:tab w:val="left" w:pos="500"/>
      </w:tabs>
      <w:spacing w:after="240"/>
      <w:ind w:left="504" w:hanging="504"/>
    </w:pPr>
    <w:rPr>
      <w:rFonts w:asciiTheme="minorHAnsi" w:eastAsiaTheme="minorEastAsia"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437616">
      <w:bodyDiv w:val="1"/>
      <w:marLeft w:val="0"/>
      <w:marRight w:val="0"/>
      <w:marTop w:val="0"/>
      <w:marBottom w:val="0"/>
      <w:divBdr>
        <w:top w:val="none" w:sz="0" w:space="0" w:color="auto"/>
        <w:left w:val="none" w:sz="0" w:space="0" w:color="auto"/>
        <w:bottom w:val="none" w:sz="0" w:space="0" w:color="auto"/>
        <w:right w:val="none" w:sz="0" w:space="0" w:color="auto"/>
      </w:divBdr>
    </w:div>
    <w:div w:id="488517706">
      <w:bodyDiv w:val="1"/>
      <w:marLeft w:val="0"/>
      <w:marRight w:val="0"/>
      <w:marTop w:val="0"/>
      <w:marBottom w:val="0"/>
      <w:divBdr>
        <w:top w:val="none" w:sz="0" w:space="0" w:color="auto"/>
        <w:left w:val="none" w:sz="0" w:space="0" w:color="auto"/>
        <w:bottom w:val="none" w:sz="0" w:space="0" w:color="auto"/>
        <w:right w:val="none" w:sz="0" w:space="0" w:color="auto"/>
      </w:divBdr>
    </w:div>
    <w:div w:id="1138181211">
      <w:bodyDiv w:val="1"/>
      <w:marLeft w:val="0"/>
      <w:marRight w:val="0"/>
      <w:marTop w:val="0"/>
      <w:marBottom w:val="0"/>
      <w:divBdr>
        <w:top w:val="none" w:sz="0" w:space="0" w:color="auto"/>
        <w:left w:val="none" w:sz="0" w:space="0" w:color="auto"/>
        <w:bottom w:val="none" w:sz="0" w:space="0" w:color="auto"/>
        <w:right w:val="none" w:sz="0" w:space="0" w:color="auto"/>
      </w:divBdr>
    </w:div>
    <w:div w:id="1379550246">
      <w:bodyDiv w:val="1"/>
      <w:marLeft w:val="0"/>
      <w:marRight w:val="0"/>
      <w:marTop w:val="0"/>
      <w:marBottom w:val="0"/>
      <w:divBdr>
        <w:top w:val="none" w:sz="0" w:space="0" w:color="auto"/>
        <w:left w:val="none" w:sz="0" w:space="0" w:color="auto"/>
        <w:bottom w:val="none" w:sz="0" w:space="0" w:color="auto"/>
        <w:right w:val="none" w:sz="0" w:space="0" w:color="auto"/>
      </w:divBdr>
    </w:div>
    <w:div w:id="1725372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rjia.ge@utoronto.ca" TargetMode="External"/><Relationship Id="rId13" Type="http://schemas.openxmlformats.org/officeDocument/2006/relationships/hyperlink" Target="mailto:xmwang@cdc.zj.cn" TargetMode="External"/><Relationship Id="rId18" Type="http://schemas.openxmlformats.org/officeDocument/2006/relationships/hyperlink" Target="mailto:bchen@cdc.zj.cn" TargetMode="External"/><Relationship Id="rId26" Type="http://schemas.openxmlformats.org/officeDocument/2006/relationships/image" Target="media/image1.tiff"/><Relationship Id="rId3" Type="http://schemas.openxmlformats.org/officeDocument/2006/relationships/styles" Target="styles.xml"/><Relationship Id="rId21" Type="http://schemas.openxmlformats.org/officeDocument/2006/relationships/hyperlink" Target="mailto:luom38@mail.sysu.edu.cn" TargetMode="External"/><Relationship Id="rId7" Type="http://schemas.openxmlformats.org/officeDocument/2006/relationships/endnotes" Target="endnotes.xml"/><Relationship Id="rId12" Type="http://schemas.openxmlformats.org/officeDocument/2006/relationships/hyperlink" Target="mailto:liux@lreis.ac.cn" TargetMode="External"/><Relationship Id="rId17" Type="http://schemas.openxmlformats.org/officeDocument/2006/relationships/hyperlink" Target="mailto:frfei@cdc.zj.cn" TargetMode="External"/><Relationship Id="rId25" Type="http://schemas.openxmlformats.org/officeDocument/2006/relationships/hyperlink" Target="mailto:leijuan.316@163.com" TargetMode="External"/><Relationship Id="rId2" Type="http://schemas.openxmlformats.org/officeDocument/2006/relationships/numbering" Target="numbering.xml"/><Relationship Id="rId16" Type="http://schemas.openxmlformats.org/officeDocument/2006/relationships/hyperlink" Target="mailto:Txm1227@126.com" TargetMode="External"/><Relationship Id="rId20" Type="http://schemas.openxmlformats.org/officeDocument/2006/relationships/hyperlink" Target="mailto:ypeng@cdc.zj.cn"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weijing_rs@163.com" TargetMode="External"/><Relationship Id="rId24" Type="http://schemas.openxmlformats.org/officeDocument/2006/relationships/hyperlink" Target="mailto:luom38@mail.sysu.edu.cn"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ljr630214@sohu.com" TargetMode="External"/><Relationship Id="rId23" Type="http://schemas.openxmlformats.org/officeDocument/2006/relationships/hyperlink" Target="mailto:ypeng@cdc.zj.cn" TargetMode="External"/><Relationship Id="rId28" Type="http://schemas.openxmlformats.org/officeDocument/2006/relationships/image" Target="media/image3.tiff"/><Relationship Id="rId10" Type="http://schemas.openxmlformats.org/officeDocument/2006/relationships/hyperlink" Target="mailto:renzp@lreis.ac.cn" TargetMode="External"/><Relationship Id="rId19" Type="http://schemas.openxmlformats.org/officeDocument/2006/relationships/hyperlink" Target="mailto:wxldyj@163.com"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jianhui.gao@mail.utoronto.ca" TargetMode="External"/><Relationship Id="rId14" Type="http://schemas.openxmlformats.org/officeDocument/2006/relationships/hyperlink" Target="mailto:jmzhong@cdc.zj.cn" TargetMode="External"/><Relationship Id="rId22" Type="http://schemas.openxmlformats.org/officeDocument/2006/relationships/hyperlink" Target="mailto:leijuan.316@163.com" TargetMode="External"/><Relationship Id="rId27" Type="http://schemas.openxmlformats.org/officeDocument/2006/relationships/image" Target="media/image2.tiff"/><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AE61D7-A987-6D46-83D3-A3E24A8139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1683</TotalTime>
  <Pages>27</Pages>
  <Words>26898</Words>
  <Characters>153325</Characters>
  <Application>Microsoft Office Word</Application>
  <DocSecurity>0</DocSecurity>
  <Lines>1277</Lines>
  <Paragraphs>359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179864</CharactersWithSpaces>
  <SharedDoc>false</SharedDoc>
  <HLinks>
    <vt:vector size="96" baseType="variant">
      <vt:variant>
        <vt:i4>7667724</vt:i4>
      </vt:variant>
      <vt:variant>
        <vt:i4>45</vt:i4>
      </vt:variant>
      <vt:variant>
        <vt:i4>0</vt:i4>
      </vt:variant>
      <vt:variant>
        <vt:i4>5</vt:i4>
      </vt:variant>
      <vt:variant>
        <vt:lpwstr>mailto:leijuan.316@163.com</vt:lpwstr>
      </vt:variant>
      <vt:variant>
        <vt:lpwstr/>
      </vt:variant>
      <vt:variant>
        <vt:i4>2293847</vt:i4>
      </vt:variant>
      <vt:variant>
        <vt:i4>42</vt:i4>
      </vt:variant>
      <vt:variant>
        <vt:i4>0</vt:i4>
      </vt:variant>
      <vt:variant>
        <vt:i4>5</vt:i4>
      </vt:variant>
      <vt:variant>
        <vt:lpwstr>mailto:ypeng@cdc.zj.cn</vt:lpwstr>
      </vt:variant>
      <vt:variant>
        <vt:lpwstr/>
      </vt:variant>
      <vt:variant>
        <vt:i4>1376319</vt:i4>
      </vt:variant>
      <vt:variant>
        <vt:i4>39</vt:i4>
      </vt:variant>
      <vt:variant>
        <vt:i4>0</vt:i4>
      </vt:variant>
      <vt:variant>
        <vt:i4>5</vt:i4>
      </vt:variant>
      <vt:variant>
        <vt:lpwstr>mailto:luom38@mail.sysu.edu.cn</vt:lpwstr>
      </vt:variant>
      <vt:variant>
        <vt:lpwstr/>
      </vt:variant>
      <vt:variant>
        <vt:i4>7667724</vt:i4>
      </vt:variant>
      <vt:variant>
        <vt:i4>36</vt:i4>
      </vt:variant>
      <vt:variant>
        <vt:i4>0</vt:i4>
      </vt:variant>
      <vt:variant>
        <vt:i4>5</vt:i4>
      </vt:variant>
      <vt:variant>
        <vt:lpwstr>mailto:leijuan.316@163.com</vt:lpwstr>
      </vt:variant>
      <vt:variant>
        <vt:lpwstr/>
      </vt:variant>
      <vt:variant>
        <vt:i4>1376319</vt:i4>
      </vt:variant>
      <vt:variant>
        <vt:i4>33</vt:i4>
      </vt:variant>
      <vt:variant>
        <vt:i4>0</vt:i4>
      </vt:variant>
      <vt:variant>
        <vt:i4>5</vt:i4>
      </vt:variant>
      <vt:variant>
        <vt:lpwstr>mailto:luom38@mail.sysu.edu.cn</vt:lpwstr>
      </vt:variant>
      <vt:variant>
        <vt:lpwstr/>
      </vt:variant>
      <vt:variant>
        <vt:i4>2293847</vt:i4>
      </vt:variant>
      <vt:variant>
        <vt:i4>30</vt:i4>
      </vt:variant>
      <vt:variant>
        <vt:i4>0</vt:i4>
      </vt:variant>
      <vt:variant>
        <vt:i4>5</vt:i4>
      </vt:variant>
      <vt:variant>
        <vt:lpwstr>mailto:ypeng@cdc.zj.cn</vt:lpwstr>
      </vt:variant>
      <vt:variant>
        <vt:lpwstr/>
      </vt:variant>
      <vt:variant>
        <vt:i4>2687050</vt:i4>
      </vt:variant>
      <vt:variant>
        <vt:i4>27</vt:i4>
      </vt:variant>
      <vt:variant>
        <vt:i4>0</vt:i4>
      </vt:variant>
      <vt:variant>
        <vt:i4>5</vt:i4>
      </vt:variant>
      <vt:variant>
        <vt:lpwstr>mailto:Xiaolin.wei@utoronto.ca</vt:lpwstr>
      </vt:variant>
      <vt:variant>
        <vt:lpwstr/>
      </vt:variant>
      <vt:variant>
        <vt:i4>3932239</vt:i4>
      </vt:variant>
      <vt:variant>
        <vt:i4>24</vt:i4>
      </vt:variant>
      <vt:variant>
        <vt:i4>0</vt:i4>
      </vt:variant>
      <vt:variant>
        <vt:i4>5</vt:i4>
      </vt:variant>
      <vt:variant>
        <vt:lpwstr>mailto:bchen@cdc.zj.cn</vt:lpwstr>
      </vt:variant>
      <vt:variant>
        <vt:lpwstr/>
      </vt:variant>
      <vt:variant>
        <vt:i4>3211358</vt:i4>
      </vt:variant>
      <vt:variant>
        <vt:i4>21</vt:i4>
      </vt:variant>
      <vt:variant>
        <vt:i4>0</vt:i4>
      </vt:variant>
      <vt:variant>
        <vt:i4>5</vt:i4>
      </vt:variant>
      <vt:variant>
        <vt:lpwstr>mailto:frfei@cdc.zj.cn</vt:lpwstr>
      </vt:variant>
      <vt:variant>
        <vt:lpwstr/>
      </vt:variant>
      <vt:variant>
        <vt:i4>4194338</vt:i4>
      </vt:variant>
      <vt:variant>
        <vt:i4>18</vt:i4>
      </vt:variant>
      <vt:variant>
        <vt:i4>0</vt:i4>
      </vt:variant>
      <vt:variant>
        <vt:i4>5</vt:i4>
      </vt:variant>
      <vt:variant>
        <vt:lpwstr>mailto:jmzhong@cdc.zj.cn</vt:lpwstr>
      </vt:variant>
      <vt:variant>
        <vt:lpwstr/>
      </vt:variant>
      <vt:variant>
        <vt:i4>117</vt:i4>
      </vt:variant>
      <vt:variant>
        <vt:i4>15</vt:i4>
      </vt:variant>
      <vt:variant>
        <vt:i4>0</vt:i4>
      </vt:variant>
      <vt:variant>
        <vt:i4>5</vt:i4>
      </vt:variant>
      <vt:variant>
        <vt:lpwstr>mailto:xmwang@cdc.zj.cn</vt:lpwstr>
      </vt:variant>
      <vt:variant>
        <vt:lpwstr/>
      </vt:variant>
      <vt:variant>
        <vt:i4>917614</vt:i4>
      </vt:variant>
      <vt:variant>
        <vt:i4>12</vt:i4>
      </vt:variant>
      <vt:variant>
        <vt:i4>0</vt:i4>
      </vt:variant>
      <vt:variant>
        <vt:i4>5</vt:i4>
      </vt:variant>
      <vt:variant>
        <vt:lpwstr>mailto:liux@lreis.ac.cn</vt:lpwstr>
      </vt:variant>
      <vt:variant>
        <vt:lpwstr/>
      </vt:variant>
      <vt:variant>
        <vt:i4>5570592</vt:i4>
      </vt:variant>
      <vt:variant>
        <vt:i4>9</vt:i4>
      </vt:variant>
      <vt:variant>
        <vt:i4>0</vt:i4>
      </vt:variant>
      <vt:variant>
        <vt:i4>5</vt:i4>
      </vt:variant>
      <vt:variant>
        <vt:lpwstr>mailto:renzp@lreis.ac.cn</vt:lpwstr>
      </vt:variant>
      <vt:variant>
        <vt:lpwstr/>
      </vt:variant>
      <vt:variant>
        <vt:i4>3538975</vt:i4>
      </vt:variant>
      <vt:variant>
        <vt:i4>6</vt:i4>
      </vt:variant>
      <vt:variant>
        <vt:i4>0</vt:i4>
      </vt:variant>
      <vt:variant>
        <vt:i4>5</vt:i4>
      </vt:variant>
      <vt:variant>
        <vt:lpwstr>mailto:nicky.huang@mail.utoronto.ca</vt:lpwstr>
      </vt:variant>
      <vt:variant>
        <vt:lpwstr/>
      </vt:variant>
      <vt:variant>
        <vt:i4>3014677</vt:i4>
      </vt:variant>
      <vt:variant>
        <vt:i4>3</vt:i4>
      </vt:variant>
      <vt:variant>
        <vt:i4>0</vt:i4>
      </vt:variant>
      <vt:variant>
        <vt:i4>5</vt:i4>
      </vt:variant>
      <vt:variant>
        <vt:lpwstr>mailto:Jianhui.gao@mail.utoronto.ca</vt:lpwstr>
      </vt:variant>
      <vt:variant>
        <vt:lpwstr/>
      </vt:variant>
      <vt:variant>
        <vt:i4>5177397</vt:i4>
      </vt:variant>
      <vt:variant>
        <vt:i4>0</vt:i4>
      </vt:variant>
      <vt:variant>
        <vt:i4>0</vt:i4>
      </vt:variant>
      <vt:variant>
        <vt:i4>5</vt:i4>
      </vt:variant>
      <vt:variant>
        <vt:lpwstr>mailto:Erjia.ge@utoronto.ca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Erjia Ge</dc:creator>
  <cp:keywords/>
  <dc:description/>
  <cp:lastModifiedBy>Erjia Ge</cp:lastModifiedBy>
  <cp:revision>668</cp:revision>
  <dcterms:created xsi:type="dcterms:W3CDTF">2020-07-24T15:32:00Z</dcterms:created>
  <dcterms:modified xsi:type="dcterms:W3CDTF">2022-02-02T18:26:00Z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zotero-version="5.0.97-beta.16+128ed5e4c"&gt;&lt;session id="u3aZZJWI"/&gt;&lt;style id="http://www.zotero.org/styles/european-respiratory-journal" hasBibliography="1" bibliographyStyleHasBeenSet="1"/&gt;&lt;prefs&gt;&lt;pref name="fieldType" value="Field"</vt:lpwstr>
  </property>
  <property fmtid="{D5CDD505-2E9C-101B-9397-08002B2CF9AE}" pid="3" name="ZOTERO_PREF_2">
    <vt:lpwstr>/&gt;&lt;/prefs&gt;&lt;/data&gt;</vt:lpwstr>
  </property>
</Properties>
</file>